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3EE1" w14:textId="4437D109" w:rsidR="00C060D1" w:rsidRPr="00C060D1" w:rsidRDefault="004C3F3B" w:rsidP="004C3F3B">
      <w:pPr>
        <w:rPr>
          <w:rFonts w:cstheme="minorHAnsi"/>
          <w:b/>
          <w:bCs/>
          <w:sz w:val="32"/>
          <w:szCs w:val="32"/>
        </w:rPr>
      </w:pPr>
      <w:r w:rsidRPr="008A61CB">
        <w:rPr>
          <w:rFonts w:cstheme="minorHAnsi"/>
          <w:b/>
          <w:bCs/>
          <w:sz w:val="32"/>
          <w:szCs w:val="32"/>
        </w:rPr>
        <w:t xml:space="preserve">Tillämpning av transparenslagen (SFS 2005:590 Lag om insyn i vissa finansiella förbindelser) i universitets- och högskolesektorn </w:t>
      </w:r>
    </w:p>
    <w:p w14:paraId="42D4D2B0" w14:textId="7FC89F82" w:rsidR="004C3F3B" w:rsidRPr="008A61CB" w:rsidRDefault="004C3F3B" w:rsidP="004C3F3B">
      <w:pPr>
        <w:rPr>
          <w:rFonts w:cstheme="minorHAnsi"/>
          <w:b/>
          <w:bCs/>
        </w:rPr>
      </w:pPr>
      <w:r w:rsidRPr="008A61CB">
        <w:rPr>
          <w:rFonts w:cstheme="minorHAnsi"/>
          <w:b/>
          <w:bCs/>
        </w:rPr>
        <w:t xml:space="preserve">Bakgrund </w:t>
      </w:r>
    </w:p>
    <w:p w14:paraId="535D3335" w14:textId="23C0BC7E" w:rsidR="004C3F3B" w:rsidRPr="008A61CB" w:rsidRDefault="004C3F3B" w:rsidP="004C3F3B">
      <w:pPr>
        <w:rPr>
          <w:rFonts w:cstheme="minorHAnsi"/>
        </w:rPr>
      </w:pPr>
      <w:r w:rsidRPr="008A61CB">
        <w:rPr>
          <w:rFonts w:cstheme="minorHAnsi"/>
        </w:rPr>
        <w:t xml:space="preserve">Från och med 2005 gäller transparenslagen, som ska göra insyn möjlig i vissa finansiella förbindelser. Lagen ställer krav på redovisningen och Redovisningsrådet har tillsammans med representant från Konkurrensverket kommit fram till att universitet och högskolor (med en nettoomsättning överstigande 40 mkr euro, för vart och ett av de två senaste åren) ska lämna redovisning enligt transparenslagen. Kriterierna avseende huruvida sektorn ska omfattas av lagen eller inte, är inte glasklara. </w:t>
      </w:r>
    </w:p>
    <w:p w14:paraId="64402FD0" w14:textId="7CF41580" w:rsidR="004C3F3B" w:rsidRPr="008A61CB" w:rsidRDefault="004C3F3B" w:rsidP="004C3F3B">
      <w:pPr>
        <w:rPr>
          <w:rFonts w:cstheme="minorHAnsi"/>
        </w:rPr>
      </w:pPr>
      <w:r w:rsidRPr="008A61CB">
        <w:rPr>
          <w:rFonts w:cstheme="minorHAnsi"/>
        </w:rPr>
        <w:t xml:space="preserve">I nuläget görs tolkningen att sektorn omfattas och skall lämna en ”transparensredovisning”. Mer information om lagen finns på </w:t>
      </w:r>
      <w:hyperlink r:id="rId6" w:history="1">
        <w:r w:rsidRPr="00B565C7">
          <w:rPr>
            <w:rStyle w:val="Hyperlnk"/>
            <w:rFonts w:cstheme="minorHAnsi"/>
          </w:rPr>
          <w:t>Konkurrensverkets hemsida</w:t>
        </w:r>
      </w:hyperlink>
      <w:r w:rsidR="00BC2934" w:rsidRPr="00BC2934">
        <w:rPr>
          <w:rFonts w:cstheme="minorHAnsi"/>
        </w:rPr>
        <w:t xml:space="preserve">. </w:t>
      </w:r>
    </w:p>
    <w:p w14:paraId="528B5126" w14:textId="499BFCE2" w:rsidR="00C060D1" w:rsidRPr="008A61CB" w:rsidRDefault="004C3F3B" w:rsidP="004C3F3B">
      <w:pPr>
        <w:rPr>
          <w:rFonts w:cstheme="minorHAnsi"/>
        </w:rPr>
      </w:pPr>
      <w:r w:rsidRPr="008A61CB">
        <w:rPr>
          <w:rFonts w:cstheme="minorHAnsi"/>
        </w:rPr>
        <w:t>Redovisningen som upprättas enligt transparenslagen behöver</w:t>
      </w:r>
      <w:r w:rsidRPr="008A61CB">
        <w:rPr>
          <w:rFonts w:cstheme="minorHAnsi"/>
          <w:color w:val="FF0000"/>
        </w:rPr>
        <w:t xml:space="preserve"> </w:t>
      </w:r>
      <w:r w:rsidRPr="008A61CB">
        <w:rPr>
          <w:rFonts w:cstheme="minorHAnsi"/>
        </w:rPr>
        <w:t>inte sändas in till någon myndighet. Den ska sändas till Konkurrensverket om de begär det och av den anledningen ska redovisningen också arkiveras. Redovisningen bygger på uppgifter som hämtas ur årsredovisningen. För att underlätta har</w:t>
      </w:r>
      <w:r w:rsidR="00DC3154" w:rsidRPr="008A61CB">
        <w:rPr>
          <w:rFonts w:cstheme="minorHAnsi"/>
        </w:rPr>
        <w:t xml:space="preserve"> </w:t>
      </w:r>
      <w:r w:rsidR="00DC3154" w:rsidRPr="00BC2934">
        <w:rPr>
          <w:rFonts w:cstheme="minorHAnsi"/>
        </w:rPr>
        <w:t>Redovisningsrådet</w:t>
      </w:r>
      <w:r w:rsidR="00141150" w:rsidRPr="00141150">
        <w:rPr>
          <w:rFonts w:cstheme="minorHAnsi"/>
        </w:rPr>
        <w:t xml:space="preserve"> </w:t>
      </w:r>
      <w:r w:rsidRPr="008A61CB">
        <w:rPr>
          <w:rFonts w:cstheme="minorHAnsi"/>
        </w:rPr>
        <w:t>tagit</w:t>
      </w:r>
      <w:r w:rsidR="00141150">
        <w:rPr>
          <w:rFonts w:cstheme="minorHAnsi"/>
        </w:rPr>
        <w:t xml:space="preserve"> </w:t>
      </w:r>
      <w:r w:rsidRPr="008A61CB">
        <w:rPr>
          <w:rFonts w:cstheme="minorHAnsi"/>
        </w:rPr>
        <w:t>fram</w:t>
      </w:r>
      <w:r w:rsidR="007C1B22" w:rsidRPr="008A61CB">
        <w:rPr>
          <w:rFonts w:cstheme="minorHAnsi"/>
        </w:rPr>
        <w:t xml:space="preserve"> en</w:t>
      </w:r>
      <w:r w:rsidRPr="008A61CB">
        <w:rPr>
          <w:rFonts w:cstheme="minorHAnsi"/>
        </w:rPr>
        <w:t xml:space="preserve"> mall för redovisningen.</w:t>
      </w:r>
      <w:r w:rsidR="008C1023">
        <w:rPr>
          <w:rFonts w:cstheme="minorHAnsi"/>
        </w:rPr>
        <w:t xml:space="preserve"> </w:t>
      </w:r>
    </w:p>
    <w:p w14:paraId="16B81262" w14:textId="0365A841" w:rsidR="004C3F3B" w:rsidRPr="008A61CB" w:rsidRDefault="004C3F3B" w:rsidP="004C3F3B">
      <w:pPr>
        <w:rPr>
          <w:rFonts w:cstheme="minorHAnsi"/>
          <w:b/>
          <w:bCs/>
        </w:rPr>
      </w:pPr>
      <w:r w:rsidRPr="008A61CB">
        <w:rPr>
          <w:rFonts w:cstheme="minorHAnsi"/>
          <w:b/>
          <w:bCs/>
        </w:rPr>
        <w:t>Öppen eller separat redovisning</w:t>
      </w:r>
    </w:p>
    <w:p w14:paraId="6DF46681" w14:textId="07FDAAA0" w:rsidR="004C3F3B" w:rsidRPr="008A61CB" w:rsidRDefault="004C3F3B" w:rsidP="004C3F3B">
      <w:pPr>
        <w:rPr>
          <w:rFonts w:cstheme="minorHAnsi"/>
        </w:rPr>
      </w:pPr>
      <w:r w:rsidRPr="008A61CB">
        <w:rPr>
          <w:rFonts w:cstheme="minorHAnsi"/>
        </w:rPr>
        <w:t xml:space="preserve">En bedömning ska göras där den offentliga verksamhet som inte utgör företag först </w:t>
      </w:r>
      <w:r w:rsidR="00DC3154" w:rsidRPr="00BC2934">
        <w:rPr>
          <w:rFonts w:cstheme="minorHAnsi"/>
        </w:rPr>
        <w:t>ska</w:t>
      </w:r>
      <w:r w:rsidR="00DC3154" w:rsidRPr="008A61CB">
        <w:rPr>
          <w:rFonts w:cstheme="minorHAnsi"/>
        </w:rPr>
        <w:t xml:space="preserve"> </w:t>
      </w:r>
      <w:r w:rsidRPr="008A61CB">
        <w:rPr>
          <w:rFonts w:cstheme="minorHAnsi"/>
        </w:rPr>
        <w:t>kunna avskiljas från den verksamhet som utgör företag enligt konkurrensreglernas mening. Därefter ska företagsverksamheten kunna delas i konkurrensskyddad respektive konkurrensutsatt företagsverksamhet. En schematisk figur finns här nedanför.</w:t>
      </w:r>
    </w:p>
    <w:p w14:paraId="1F200633" w14:textId="43552996" w:rsidR="004C3F3B" w:rsidRPr="008A61CB" w:rsidRDefault="00DC3154" w:rsidP="004C3F3B">
      <w:pPr>
        <w:rPr>
          <w:rFonts w:cstheme="minorHAnsi"/>
        </w:rPr>
      </w:pPr>
      <w:r w:rsidRPr="008A61CB">
        <w:rPr>
          <w:rFonts w:cstheme="minorHAnsi"/>
        </w:rPr>
        <w:fldChar w:fldCharType="begin"/>
      </w:r>
      <w:r w:rsidRPr="008A61CB">
        <w:rPr>
          <w:rFonts w:cstheme="minorHAnsi"/>
        </w:rPr>
        <w:instrText xml:space="preserve"> INCLUDEPICTURE "http://www.kkv.se/upload/bilder/foretagsverksamhet.gif" \* MERGEFORMATINET </w:instrText>
      </w:r>
      <w:r w:rsidRPr="008A61CB">
        <w:rPr>
          <w:rFonts w:cstheme="minorHAnsi"/>
        </w:rPr>
        <w:fldChar w:fldCharType="separate"/>
      </w:r>
      <w:r w:rsidR="008C1DCE">
        <w:rPr>
          <w:rFonts w:cstheme="minorHAnsi"/>
        </w:rPr>
        <w:fldChar w:fldCharType="begin"/>
      </w:r>
      <w:r w:rsidR="008C1DCE">
        <w:rPr>
          <w:rFonts w:cstheme="minorHAnsi"/>
        </w:rPr>
        <w:instrText xml:space="preserve"> INCLUDEPICTURE  "http://www.kkv.se/upload/bilder/foretagsverksamhet.gif" \* MERGEFORMATINET </w:instrText>
      </w:r>
      <w:r w:rsidR="008C1DCE">
        <w:rPr>
          <w:rFonts w:cstheme="minorHAnsi"/>
        </w:rPr>
        <w:fldChar w:fldCharType="separate"/>
      </w:r>
      <w:r w:rsidR="00D45742">
        <w:rPr>
          <w:rFonts w:cstheme="minorHAnsi"/>
        </w:rPr>
        <w:fldChar w:fldCharType="begin"/>
      </w:r>
      <w:r w:rsidR="00D45742">
        <w:rPr>
          <w:rFonts w:cstheme="minorHAnsi"/>
        </w:rPr>
        <w:instrText xml:space="preserve"> INCLUDEPICTURE  "http://www.kkv.se/upload/bilder/foretagsverksamhet.gif" \* MERGEFORMATINET </w:instrText>
      </w:r>
      <w:r w:rsidR="00D45742">
        <w:rPr>
          <w:rFonts w:cstheme="minorHAnsi"/>
        </w:rPr>
        <w:fldChar w:fldCharType="separate"/>
      </w:r>
      <w:r w:rsidR="001B3468">
        <w:rPr>
          <w:rFonts w:cstheme="minorHAnsi"/>
        </w:rPr>
        <w:fldChar w:fldCharType="begin"/>
      </w:r>
      <w:r w:rsidR="001B3468">
        <w:rPr>
          <w:rFonts w:cstheme="minorHAnsi"/>
        </w:rPr>
        <w:instrText xml:space="preserve"> INCLUDEPICTURE  "http://www.kkv.se/upload/bilder/foretagsverksamhet.gif" \* MERGEFORMATINET </w:instrText>
      </w:r>
      <w:r w:rsidR="001B3468">
        <w:rPr>
          <w:rFonts w:cstheme="minorHAnsi"/>
        </w:rPr>
        <w:fldChar w:fldCharType="separate"/>
      </w:r>
      <w:r w:rsidR="00877FAC">
        <w:rPr>
          <w:rFonts w:cstheme="minorHAnsi"/>
        </w:rPr>
        <w:fldChar w:fldCharType="begin"/>
      </w:r>
      <w:r w:rsidR="00877FAC">
        <w:rPr>
          <w:rFonts w:cstheme="minorHAnsi"/>
        </w:rPr>
        <w:instrText xml:space="preserve"> </w:instrText>
      </w:r>
      <w:r w:rsidR="00877FAC">
        <w:rPr>
          <w:rFonts w:cstheme="minorHAnsi"/>
        </w:rPr>
        <w:instrText>INCLUDEPICTURE  "http://www.kkv.se/upload/bilder/foretagsverksamhet.gif" \* MERGEFORMATINET</w:instrText>
      </w:r>
      <w:r w:rsidR="00877FAC">
        <w:rPr>
          <w:rFonts w:cstheme="minorHAnsi"/>
        </w:rPr>
        <w:instrText xml:space="preserve"> </w:instrText>
      </w:r>
      <w:r w:rsidR="00877FAC">
        <w:rPr>
          <w:rFonts w:cstheme="minorHAnsi"/>
        </w:rPr>
        <w:fldChar w:fldCharType="separate"/>
      </w:r>
      <w:r w:rsidR="00877FAC">
        <w:rPr>
          <w:rFonts w:cstheme="minorHAnsi"/>
        </w:rPr>
        <w:pict w14:anchorId="22A5B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71pt">
            <v:imagedata r:id="rId7" r:href="rId8"/>
          </v:shape>
        </w:pict>
      </w:r>
      <w:r w:rsidR="00877FAC">
        <w:rPr>
          <w:rFonts w:cstheme="minorHAnsi"/>
        </w:rPr>
        <w:fldChar w:fldCharType="end"/>
      </w:r>
      <w:r w:rsidR="001B3468">
        <w:rPr>
          <w:rFonts w:cstheme="minorHAnsi"/>
        </w:rPr>
        <w:fldChar w:fldCharType="end"/>
      </w:r>
      <w:r w:rsidR="00D45742">
        <w:rPr>
          <w:rFonts w:cstheme="minorHAnsi"/>
        </w:rPr>
        <w:fldChar w:fldCharType="end"/>
      </w:r>
      <w:r w:rsidR="008C1DCE">
        <w:rPr>
          <w:rFonts w:cstheme="minorHAnsi"/>
        </w:rPr>
        <w:fldChar w:fldCharType="end"/>
      </w:r>
      <w:r w:rsidRPr="008A61CB">
        <w:rPr>
          <w:rFonts w:cstheme="minorHAnsi"/>
        </w:rPr>
        <w:fldChar w:fldCharType="end"/>
      </w:r>
    </w:p>
    <w:p w14:paraId="647B8AB9" w14:textId="4EC81679" w:rsidR="00DC3154" w:rsidRPr="008A61CB" w:rsidRDefault="004C3F3B" w:rsidP="004C3F3B">
      <w:pPr>
        <w:rPr>
          <w:rFonts w:cstheme="minorHAnsi"/>
        </w:rPr>
      </w:pPr>
      <w:r w:rsidRPr="008A61CB">
        <w:rPr>
          <w:rFonts w:cstheme="minorHAnsi"/>
        </w:rPr>
        <w:t xml:space="preserve">Enligt </w:t>
      </w:r>
      <w:r w:rsidR="00DC3154" w:rsidRPr="008A61CB">
        <w:rPr>
          <w:rFonts w:cstheme="minorHAnsi"/>
        </w:rPr>
        <w:t>Redovisningsrådets</w:t>
      </w:r>
      <w:r w:rsidRPr="008A61CB">
        <w:rPr>
          <w:rFonts w:cstheme="minorHAnsi"/>
        </w:rPr>
        <w:t xml:space="preserve"> bedömning är omfattningen av den verksamhet sektorn bedriver som myndighetsutövning och därmed ”icke företagsverksamhet”, exempelvis examination, så liten att vi väljer att inte bryta ut den. Med stöd av väsentlighetskriteriet redovisas </w:t>
      </w:r>
      <w:r w:rsidR="00DC3154" w:rsidRPr="00BC2934">
        <w:rPr>
          <w:rFonts w:cstheme="minorHAnsi"/>
        </w:rPr>
        <w:t>därför</w:t>
      </w:r>
      <w:r w:rsidR="00DC3154" w:rsidRPr="008A61CB">
        <w:rPr>
          <w:rFonts w:cstheme="minorHAnsi"/>
        </w:rPr>
        <w:t xml:space="preserve"> </w:t>
      </w:r>
      <w:r w:rsidRPr="008A61CB">
        <w:rPr>
          <w:rFonts w:cstheme="minorHAnsi"/>
        </w:rPr>
        <w:t>all verksamhet som företagsverksamhet.</w:t>
      </w:r>
      <w:r w:rsidR="00A1638D" w:rsidRPr="008A61CB">
        <w:rPr>
          <w:rFonts w:cstheme="minorHAnsi"/>
        </w:rPr>
        <w:t xml:space="preserve"> </w:t>
      </w:r>
    </w:p>
    <w:p w14:paraId="4D5CE4F6" w14:textId="0EBAAEDC" w:rsidR="00C060D1" w:rsidRDefault="004C3F3B" w:rsidP="004C3F3B">
      <w:pPr>
        <w:rPr>
          <w:rFonts w:cstheme="minorHAnsi"/>
        </w:rPr>
      </w:pPr>
      <w:r w:rsidRPr="008A61CB">
        <w:rPr>
          <w:rFonts w:cstheme="minorHAnsi"/>
        </w:rPr>
        <w:t xml:space="preserve">Företagsverksamheten ska delas upp i konkurrensskyddad verksamhet, vilken bedrivs med särskilda eller exklusiva rättigheter, och annan verksamhet som är konkurrensutsatt. Vi </w:t>
      </w:r>
      <w:r w:rsidR="00DC3154" w:rsidRPr="00BC2934">
        <w:rPr>
          <w:rFonts w:cstheme="minorHAnsi"/>
        </w:rPr>
        <w:t>klassificerar</w:t>
      </w:r>
      <w:r w:rsidR="00DC3154" w:rsidRPr="008A61CB">
        <w:rPr>
          <w:rFonts w:cstheme="minorHAnsi"/>
        </w:rPr>
        <w:t xml:space="preserve"> </w:t>
      </w:r>
      <w:r w:rsidRPr="008A61CB">
        <w:rPr>
          <w:rFonts w:cstheme="minorHAnsi"/>
        </w:rPr>
        <w:t>anslags- och bidragsfinansierad grundutbildning</w:t>
      </w:r>
      <w:r w:rsidR="00DC3154" w:rsidRPr="008A61CB">
        <w:rPr>
          <w:rFonts w:cstheme="minorHAnsi"/>
        </w:rPr>
        <w:t>,</w:t>
      </w:r>
      <w:r w:rsidRPr="00BC2934">
        <w:rPr>
          <w:rFonts w:cstheme="minorHAnsi"/>
        </w:rPr>
        <w:t xml:space="preserve"> </w:t>
      </w:r>
      <w:r w:rsidRPr="008A61CB">
        <w:rPr>
          <w:rFonts w:cstheme="minorHAnsi"/>
        </w:rPr>
        <w:t>fors</w:t>
      </w:r>
      <w:r w:rsidRPr="00BC2934">
        <w:rPr>
          <w:rFonts w:cstheme="minorHAnsi"/>
        </w:rPr>
        <w:t>k</w:t>
      </w:r>
      <w:r w:rsidRPr="008A61CB">
        <w:rPr>
          <w:rFonts w:cstheme="minorHAnsi"/>
        </w:rPr>
        <w:t>ning-/forskarutbildning</w:t>
      </w:r>
      <w:r w:rsidR="00A1638D" w:rsidRPr="008A61CB">
        <w:rPr>
          <w:rFonts w:cstheme="minorHAnsi"/>
        </w:rPr>
        <w:t>,</w:t>
      </w:r>
      <w:r w:rsidRPr="008A61CB">
        <w:rPr>
          <w:rFonts w:cstheme="minorHAnsi"/>
        </w:rPr>
        <w:t xml:space="preserve"> liksom högskoleprovet som konkurrensskyddad</w:t>
      </w:r>
      <w:r w:rsidR="00DC3154" w:rsidRPr="008A61CB">
        <w:rPr>
          <w:rFonts w:cstheme="minorHAnsi"/>
        </w:rPr>
        <w:t xml:space="preserve"> </w:t>
      </w:r>
      <w:r w:rsidR="00DC3154" w:rsidRPr="00BC2934">
        <w:rPr>
          <w:rFonts w:cstheme="minorHAnsi"/>
        </w:rPr>
        <w:t>verksamhet</w:t>
      </w:r>
      <w:r w:rsidRPr="008A61CB">
        <w:rPr>
          <w:rFonts w:cstheme="minorHAnsi"/>
        </w:rPr>
        <w:t xml:space="preserve">. Uppdragsverksamheten, </w:t>
      </w:r>
      <w:r w:rsidR="00DC3154" w:rsidRPr="00BC2934">
        <w:rPr>
          <w:rFonts w:cstheme="minorHAnsi"/>
        </w:rPr>
        <w:t xml:space="preserve">utbildning av </w:t>
      </w:r>
      <w:r w:rsidR="00043E56" w:rsidRPr="00BC2934">
        <w:rPr>
          <w:rFonts w:cstheme="minorHAnsi"/>
        </w:rPr>
        <w:t>studieavgiftsskyldiga studenter</w:t>
      </w:r>
      <w:r w:rsidRPr="00BC2934">
        <w:rPr>
          <w:rFonts w:cstheme="minorHAnsi"/>
        </w:rPr>
        <w:t xml:space="preserve"> och </w:t>
      </w:r>
      <w:r w:rsidRPr="00772D92">
        <w:rPr>
          <w:rFonts w:cstheme="minorHAnsi"/>
        </w:rPr>
        <w:t>Holdingbolagen</w:t>
      </w:r>
      <w:r w:rsidRPr="00BC2934">
        <w:rPr>
          <w:rFonts w:cstheme="minorHAnsi"/>
        </w:rPr>
        <w:t xml:space="preserve"> betraktas som konkurrensutsatt</w:t>
      </w:r>
      <w:r w:rsidR="00E024D9" w:rsidRPr="00BC2934">
        <w:rPr>
          <w:rFonts w:cstheme="minorHAnsi"/>
        </w:rPr>
        <w:t xml:space="preserve"> verksamhet</w:t>
      </w:r>
      <w:r w:rsidRPr="00BC2934">
        <w:rPr>
          <w:rFonts w:cstheme="minorHAnsi"/>
        </w:rPr>
        <w:t>.</w:t>
      </w:r>
      <w:r w:rsidRPr="008A61CB">
        <w:rPr>
          <w:rFonts w:cstheme="minorHAnsi"/>
        </w:rPr>
        <w:t xml:space="preserve"> </w:t>
      </w:r>
    </w:p>
    <w:p w14:paraId="718DE4D8" w14:textId="77777777" w:rsidR="00877FAC" w:rsidRPr="00C060D1" w:rsidRDefault="00877FAC" w:rsidP="004C3F3B">
      <w:pPr>
        <w:rPr>
          <w:rFonts w:cstheme="minorHAnsi"/>
        </w:rPr>
      </w:pPr>
    </w:p>
    <w:p w14:paraId="291BB31D" w14:textId="02E22D98" w:rsidR="004C3F3B" w:rsidRPr="00BC2934" w:rsidRDefault="00657DCB" w:rsidP="004C3F3B">
      <w:pPr>
        <w:rPr>
          <w:rFonts w:cstheme="minorHAnsi"/>
          <w:b/>
          <w:bCs/>
        </w:rPr>
      </w:pPr>
      <w:r w:rsidRPr="00BC2934">
        <w:rPr>
          <w:rFonts w:cstheme="minorHAnsi"/>
          <w:b/>
          <w:bCs/>
        </w:rPr>
        <w:lastRenderedPageBreak/>
        <w:t>Fastställande och i</w:t>
      </w:r>
      <w:r w:rsidR="004C3F3B" w:rsidRPr="00BC2934">
        <w:rPr>
          <w:rFonts w:cstheme="minorHAnsi"/>
          <w:b/>
          <w:bCs/>
        </w:rPr>
        <w:t xml:space="preserve">ntyg från revisor </w:t>
      </w:r>
    </w:p>
    <w:p w14:paraId="08BF9BC0" w14:textId="3D91CD8D" w:rsidR="004C3F3B" w:rsidRPr="008A61CB" w:rsidRDefault="00E024D9" w:rsidP="004C3F3B">
      <w:pPr>
        <w:rPr>
          <w:rFonts w:cstheme="minorHAnsi"/>
        </w:rPr>
      </w:pPr>
      <w:r w:rsidRPr="00BC2934">
        <w:rPr>
          <w:rFonts w:cstheme="minorHAnsi"/>
        </w:rPr>
        <w:t xml:space="preserve">Redovisningen fastställs av rektor och lämnas till </w:t>
      </w:r>
      <w:r w:rsidR="004C3F3B" w:rsidRPr="00BC2934">
        <w:rPr>
          <w:rFonts w:cstheme="minorHAnsi"/>
        </w:rPr>
        <w:t>Riksrevisionen</w:t>
      </w:r>
      <w:r w:rsidRPr="00BC2934">
        <w:rPr>
          <w:rFonts w:cstheme="minorHAnsi"/>
        </w:rPr>
        <w:t>,</w:t>
      </w:r>
      <w:r w:rsidR="004C3F3B" w:rsidRPr="00BC2934">
        <w:rPr>
          <w:rFonts w:cstheme="minorHAnsi"/>
        </w:rPr>
        <w:t xml:space="preserve"> </w:t>
      </w:r>
      <w:r w:rsidRPr="00BC2934">
        <w:rPr>
          <w:rFonts w:cstheme="minorHAnsi"/>
        </w:rPr>
        <w:t>som</w:t>
      </w:r>
      <w:r w:rsidRPr="008A61CB">
        <w:rPr>
          <w:rFonts w:cstheme="minorHAnsi"/>
        </w:rPr>
        <w:t xml:space="preserve"> </w:t>
      </w:r>
      <w:r w:rsidR="004C3F3B" w:rsidRPr="008A61CB">
        <w:rPr>
          <w:rFonts w:cstheme="minorHAnsi"/>
        </w:rPr>
        <w:t xml:space="preserve">ska granska att redovisningen fullgjorts i enlighet med </w:t>
      </w:r>
      <w:r w:rsidR="00C67E44">
        <w:rPr>
          <w:rFonts w:cstheme="minorHAnsi"/>
        </w:rPr>
        <w:t xml:space="preserve">bestämmelserna i </w:t>
      </w:r>
      <w:r w:rsidR="004C3F3B" w:rsidRPr="008A61CB">
        <w:rPr>
          <w:rFonts w:cstheme="minorHAnsi"/>
        </w:rPr>
        <w:t>transparenslagen och lämna ett intyg till myndighetsledningen på samma sätt som föreskrivs för revisionsberättelsen.</w:t>
      </w:r>
    </w:p>
    <w:p w14:paraId="522DDF17" w14:textId="44D44468" w:rsidR="00E024D9" w:rsidRPr="008A61CB" w:rsidRDefault="00E024D9" w:rsidP="004C3F3B">
      <w:pPr>
        <w:rPr>
          <w:rFonts w:cstheme="minorHAnsi"/>
        </w:rPr>
      </w:pPr>
    </w:p>
    <w:p w14:paraId="1E511576" w14:textId="27B114E1" w:rsidR="00E024D9" w:rsidRPr="008A61CB" w:rsidRDefault="00E024D9" w:rsidP="004C3F3B">
      <w:pPr>
        <w:rPr>
          <w:rFonts w:cstheme="minorHAnsi"/>
        </w:rPr>
      </w:pPr>
    </w:p>
    <w:p w14:paraId="4F7ABA61" w14:textId="324CEF62" w:rsidR="00E024D9" w:rsidRPr="008A61CB" w:rsidRDefault="00E024D9" w:rsidP="004C3F3B">
      <w:pPr>
        <w:rPr>
          <w:rFonts w:cstheme="minorHAnsi"/>
        </w:rPr>
      </w:pPr>
    </w:p>
    <w:p w14:paraId="4C885BC4" w14:textId="26354DE3" w:rsidR="00E024D9" w:rsidRPr="008A61CB" w:rsidRDefault="00E024D9" w:rsidP="004C3F3B">
      <w:pPr>
        <w:rPr>
          <w:rFonts w:cstheme="minorHAnsi"/>
        </w:rPr>
      </w:pPr>
    </w:p>
    <w:p w14:paraId="65F9D594" w14:textId="3C837FFC" w:rsidR="00E024D9" w:rsidRPr="008A61CB" w:rsidRDefault="00E024D9" w:rsidP="004C3F3B">
      <w:pPr>
        <w:rPr>
          <w:rFonts w:cstheme="minorHAnsi"/>
        </w:rPr>
      </w:pPr>
    </w:p>
    <w:p w14:paraId="1BD1ABA2" w14:textId="55B22B75" w:rsidR="00E024D9" w:rsidRPr="008A61CB" w:rsidRDefault="00E024D9" w:rsidP="004C3F3B">
      <w:pPr>
        <w:rPr>
          <w:rFonts w:cstheme="minorHAnsi"/>
        </w:rPr>
      </w:pPr>
    </w:p>
    <w:p w14:paraId="2F3A1DE4" w14:textId="63998D5E" w:rsidR="00E024D9" w:rsidRPr="008A61CB" w:rsidRDefault="00E024D9" w:rsidP="004C3F3B">
      <w:pPr>
        <w:rPr>
          <w:rFonts w:cstheme="minorHAnsi"/>
        </w:rPr>
      </w:pPr>
    </w:p>
    <w:p w14:paraId="14D12B50" w14:textId="37775F93" w:rsidR="00E024D9" w:rsidRPr="008A61CB" w:rsidRDefault="00E024D9" w:rsidP="004C3F3B">
      <w:pPr>
        <w:rPr>
          <w:rFonts w:cstheme="minorHAnsi"/>
        </w:rPr>
      </w:pPr>
    </w:p>
    <w:p w14:paraId="799A5720" w14:textId="310D66D4" w:rsidR="00E024D9" w:rsidRPr="008A61CB" w:rsidRDefault="00E024D9" w:rsidP="004C3F3B">
      <w:pPr>
        <w:rPr>
          <w:rFonts w:cstheme="minorHAnsi"/>
        </w:rPr>
      </w:pPr>
    </w:p>
    <w:p w14:paraId="6A2EA4C3" w14:textId="1A73AD33" w:rsidR="00E024D9" w:rsidRPr="008A61CB" w:rsidRDefault="00E024D9" w:rsidP="004C3F3B">
      <w:pPr>
        <w:rPr>
          <w:rFonts w:cstheme="minorHAnsi"/>
        </w:rPr>
      </w:pPr>
    </w:p>
    <w:p w14:paraId="62C847A1" w14:textId="3870DDFB" w:rsidR="00E024D9" w:rsidRPr="008A61CB" w:rsidRDefault="00E024D9" w:rsidP="004C3F3B">
      <w:pPr>
        <w:rPr>
          <w:rFonts w:cstheme="minorHAnsi"/>
        </w:rPr>
      </w:pPr>
    </w:p>
    <w:p w14:paraId="5D00AEA3" w14:textId="7E3895DA" w:rsidR="00E024D9" w:rsidRPr="008A61CB" w:rsidRDefault="00E024D9" w:rsidP="004C3F3B">
      <w:pPr>
        <w:rPr>
          <w:rFonts w:cstheme="minorHAnsi"/>
        </w:rPr>
      </w:pPr>
    </w:p>
    <w:p w14:paraId="5BD9C8F3" w14:textId="4CFEFCC0" w:rsidR="00E024D9" w:rsidRPr="008A61CB" w:rsidRDefault="00E024D9" w:rsidP="004C3F3B">
      <w:pPr>
        <w:rPr>
          <w:rFonts w:cstheme="minorHAnsi"/>
        </w:rPr>
      </w:pPr>
    </w:p>
    <w:p w14:paraId="6D332FDC" w14:textId="5FBFEA27" w:rsidR="00E024D9" w:rsidRPr="008A61CB" w:rsidRDefault="00E024D9" w:rsidP="004C3F3B">
      <w:pPr>
        <w:rPr>
          <w:rFonts w:cstheme="minorHAnsi"/>
        </w:rPr>
      </w:pPr>
    </w:p>
    <w:p w14:paraId="6086D546" w14:textId="2FB0C8FB" w:rsidR="00E024D9" w:rsidRPr="008A61CB" w:rsidRDefault="00E024D9" w:rsidP="004C3F3B">
      <w:pPr>
        <w:rPr>
          <w:rFonts w:cstheme="minorHAnsi"/>
        </w:rPr>
      </w:pPr>
    </w:p>
    <w:p w14:paraId="2C1B03E6" w14:textId="237169AB" w:rsidR="00E024D9" w:rsidRPr="008A61CB" w:rsidRDefault="00E024D9" w:rsidP="004C3F3B">
      <w:pPr>
        <w:rPr>
          <w:rFonts w:cstheme="minorHAnsi"/>
        </w:rPr>
      </w:pPr>
    </w:p>
    <w:p w14:paraId="50EF9A2A" w14:textId="12FA1D52" w:rsidR="00E024D9" w:rsidRPr="008A61CB" w:rsidRDefault="00E024D9" w:rsidP="004C3F3B">
      <w:pPr>
        <w:rPr>
          <w:rFonts w:cstheme="minorHAnsi"/>
        </w:rPr>
      </w:pPr>
    </w:p>
    <w:p w14:paraId="20438106" w14:textId="58B9796D" w:rsidR="00E024D9" w:rsidRPr="008A61CB" w:rsidRDefault="00E024D9" w:rsidP="004C3F3B">
      <w:pPr>
        <w:rPr>
          <w:rFonts w:cstheme="minorHAnsi"/>
        </w:rPr>
      </w:pPr>
    </w:p>
    <w:p w14:paraId="5E7437EB" w14:textId="2B920CBC" w:rsidR="00E024D9" w:rsidRPr="008A61CB" w:rsidRDefault="00E024D9" w:rsidP="004C3F3B">
      <w:pPr>
        <w:rPr>
          <w:rFonts w:cstheme="minorHAnsi"/>
        </w:rPr>
      </w:pPr>
    </w:p>
    <w:p w14:paraId="1CFF6463" w14:textId="0CBAE683" w:rsidR="00E024D9" w:rsidRPr="008A61CB" w:rsidRDefault="00E024D9" w:rsidP="004C3F3B">
      <w:pPr>
        <w:rPr>
          <w:rFonts w:cstheme="minorHAnsi"/>
        </w:rPr>
      </w:pPr>
    </w:p>
    <w:p w14:paraId="7929DA12" w14:textId="559FE45E" w:rsidR="00E024D9" w:rsidRDefault="00E024D9" w:rsidP="004C3F3B">
      <w:pPr>
        <w:rPr>
          <w:rFonts w:cstheme="minorHAnsi"/>
        </w:rPr>
      </w:pPr>
    </w:p>
    <w:p w14:paraId="71B2CD84" w14:textId="77777777" w:rsidR="00BC2934" w:rsidRDefault="00BC2934" w:rsidP="004C3F3B">
      <w:pPr>
        <w:rPr>
          <w:rFonts w:cstheme="minorHAnsi"/>
        </w:rPr>
      </w:pPr>
    </w:p>
    <w:p w14:paraId="2058D778" w14:textId="77777777" w:rsidR="00877FAC" w:rsidRDefault="00877FAC" w:rsidP="004C3F3B">
      <w:pPr>
        <w:rPr>
          <w:rFonts w:cstheme="minorHAnsi"/>
        </w:rPr>
      </w:pPr>
    </w:p>
    <w:p w14:paraId="690CA1D0" w14:textId="77777777" w:rsidR="00877FAC" w:rsidRDefault="00877FAC" w:rsidP="004C3F3B">
      <w:pPr>
        <w:rPr>
          <w:rFonts w:cstheme="minorHAnsi"/>
        </w:rPr>
      </w:pPr>
    </w:p>
    <w:p w14:paraId="09E0D5E4" w14:textId="77777777" w:rsidR="00BC2934" w:rsidRDefault="00BC2934" w:rsidP="004C3F3B">
      <w:pPr>
        <w:rPr>
          <w:rFonts w:cstheme="minorHAnsi"/>
        </w:rPr>
      </w:pPr>
    </w:p>
    <w:p w14:paraId="194BAB7A" w14:textId="77777777" w:rsidR="00BC2934" w:rsidRDefault="00BC2934" w:rsidP="004C3F3B">
      <w:pPr>
        <w:rPr>
          <w:rFonts w:cstheme="minorHAnsi"/>
        </w:rPr>
      </w:pPr>
    </w:p>
    <w:p w14:paraId="5F67BDFC" w14:textId="77777777" w:rsidR="00BC2934" w:rsidRDefault="00BC2934" w:rsidP="004C3F3B">
      <w:pPr>
        <w:rPr>
          <w:rFonts w:cstheme="minorHAnsi"/>
        </w:rPr>
      </w:pPr>
    </w:p>
    <w:p w14:paraId="0310C6E6" w14:textId="77777777" w:rsidR="00BC2934" w:rsidRDefault="00BC2934" w:rsidP="004C3F3B">
      <w:pPr>
        <w:rPr>
          <w:rFonts w:cstheme="minorHAnsi"/>
        </w:rPr>
      </w:pPr>
    </w:p>
    <w:p w14:paraId="0957E630" w14:textId="53C3CA27" w:rsidR="00E024D9" w:rsidRPr="008A61CB" w:rsidRDefault="00E024D9" w:rsidP="00E024D9">
      <w:pPr>
        <w:pStyle w:val="Rubrik2"/>
        <w:rPr>
          <w:rFonts w:asciiTheme="minorHAnsi" w:eastAsia="Times New Roman" w:hAnsiTheme="minorHAnsi" w:cstheme="minorHAnsi"/>
          <w:i/>
          <w:iCs/>
        </w:rPr>
      </w:pPr>
      <w:r w:rsidRPr="008A61CB">
        <w:rPr>
          <w:rFonts w:asciiTheme="minorHAnsi" w:eastAsia="Times New Roman" w:hAnsiTheme="minorHAnsi" w:cstheme="minorHAnsi"/>
        </w:rPr>
        <w:lastRenderedPageBreak/>
        <w:t xml:space="preserve">Redovisning </w:t>
      </w:r>
      <w:r w:rsidR="00746912">
        <w:rPr>
          <w:rFonts w:asciiTheme="minorHAnsi" w:eastAsia="Times New Roman" w:hAnsiTheme="minorHAnsi" w:cstheme="minorHAnsi"/>
        </w:rPr>
        <w:t xml:space="preserve">år 20XX </w:t>
      </w:r>
      <w:r w:rsidRPr="008A61CB">
        <w:rPr>
          <w:rFonts w:asciiTheme="minorHAnsi" w:eastAsia="Times New Roman" w:hAnsiTheme="minorHAnsi" w:cstheme="minorHAnsi"/>
        </w:rPr>
        <w:t xml:space="preserve">enligt lag (2005:590) om insyn i vissa finansiella förbindelser </w:t>
      </w:r>
      <w:r w:rsidR="00746912">
        <w:rPr>
          <w:rFonts w:asciiTheme="minorHAnsi" w:eastAsia="Times New Roman" w:hAnsiTheme="minorHAnsi" w:cstheme="minorHAnsi"/>
        </w:rPr>
        <w:t>m.m.</w:t>
      </w:r>
      <w:r w:rsidRPr="008A61CB">
        <w:rPr>
          <w:rFonts w:asciiTheme="minorHAnsi" w:eastAsia="Times New Roman" w:hAnsiTheme="minorHAnsi" w:cstheme="minorHAnsi"/>
        </w:rPr>
        <w:t xml:space="preserve"> </w:t>
      </w:r>
    </w:p>
    <w:p w14:paraId="293C4DD8" w14:textId="77777777" w:rsidR="00E024D9" w:rsidRPr="008A61CB" w:rsidRDefault="00E024D9" w:rsidP="00E024D9">
      <w:pPr>
        <w:ind w:right="-108"/>
        <w:outlineLvl w:val="0"/>
        <w:rPr>
          <w:rFonts w:cstheme="minorHAnsi"/>
          <w:b/>
        </w:rPr>
      </w:pPr>
    </w:p>
    <w:p w14:paraId="098313CA" w14:textId="77777777" w:rsidR="00E024D9" w:rsidRPr="008A61CB" w:rsidRDefault="00E024D9" w:rsidP="00E024D9">
      <w:pPr>
        <w:ind w:right="-108"/>
        <w:outlineLvl w:val="0"/>
        <w:rPr>
          <w:rFonts w:cstheme="minorHAnsi"/>
          <w:b/>
          <w:bCs/>
          <w:sz w:val="24"/>
          <w:szCs w:val="24"/>
        </w:rPr>
      </w:pPr>
      <w:r w:rsidRPr="008A61CB">
        <w:rPr>
          <w:rFonts w:cstheme="minorHAnsi"/>
          <w:b/>
          <w:bCs/>
          <w:sz w:val="24"/>
          <w:szCs w:val="24"/>
        </w:rPr>
        <w:t>Öppen redovisning av finansiella förbindelser (3 § Transparenslagen)</w:t>
      </w:r>
    </w:p>
    <w:p w14:paraId="45CF9DFB" w14:textId="2D549B4C" w:rsidR="00E024D9" w:rsidRPr="008A61CB" w:rsidRDefault="00E024D9" w:rsidP="00E024D9">
      <w:pPr>
        <w:ind w:right="-108"/>
        <w:outlineLvl w:val="0"/>
        <w:rPr>
          <w:rFonts w:cstheme="minorHAnsi"/>
          <w:color w:val="000000"/>
        </w:rPr>
      </w:pPr>
      <w:r w:rsidRPr="008A61CB">
        <w:rPr>
          <w:rFonts w:cstheme="minorHAnsi"/>
          <w:color w:val="000000"/>
        </w:rPr>
        <w:t xml:space="preserve">Av den öppna redovisningen ska det framgå vilka offentliga medel som lärosätet fått och hur medlen har använts (öppen redovisning). </w:t>
      </w:r>
    </w:p>
    <w:p w14:paraId="07BE07F6" w14:textId="6D8B9A8E" w:rsidR="008A61CB" w:rsidRDefault="00E024D9" w:rsidP="00E024D9">
      <w:pPr>
        <w:ind w:right="-108"/>
        <w:outlineLvl w:val="0"/>
        <w:rPr>
          <w:rFonts w:cstheme="minorHAnsi"/>
          <w:color w:val="000000"/>
        </w:rPr>
      </w:pPr>
      <w:r w:rsidRPr="008A61CB">
        <w:rPr>
          <w:rFonts w:cstheme="minorHAnsi"/>
          <w:color w:val="000000"/>
        </w:rPr>
        <w:t>Lärosätet har inte under 20XX erhållit kapitaltillskott, förlustbidrag, amorteringsfria eller på annat sätt förmånliga lån, gynnande genom avstående från vinst, fordran eller normal avkastning på offentliga medel. Ersättningar för ekonomiska ålägganden från det allmänna har erhållits i form av anslag – se årsredovisningen. Av årsredovisningen framgår även hur anslagen har använts.</w:t>
      </w:r>
    </w:p>
    <w:p w14:paraId="1FB530A6" w14:textId="77777777" w:rsidR="008A61CB" w:rsidRPr="008A61CB" w:rsidRDefault="008A61CB" w:rsidP="00E024D9">
      <w:pPr>
        <w:ind w:right="-108"/>
        <w:outlineLvl w:val="0"/>
        <w:rPr>
          <w:rFonts w:cstheme="minorHAnsi"/>
          <w:color w:val="000000"/>
        </w:rPr>
      </w:pPr>
    </w:p>
    <w:p w14:paraId="2955A601" w14:textId="73B527A0" w:rsidR="00E024D9" w:rsidRPr="008A61CB" w:rsidRDefault="00E024D9" w:rsidP="00E024D9">
      <w:pPr>
        <w:ind w:right="-108"/>
        <w:outlineLvl w:val="0"/>
        <w:rPr>
          <w:rFonts w:cstheme="minorHAnsi"/>
          <w:b/>
          <w:bCs/>
          <w:sz w:val="24"/>
          <w:szCs w:val="24"/>
        </w:rPr>
      </w:pPr>
      <w:r w:rsidRPr="008A61CB">
        <w:rPr>
          <w:rFonts w:cstheme="minorHAnsi"/>
          <w:b/>
          <w:bCs/>
          <w:sz w:val="24"/>
          <w:szCs w:val="24"/>
        </w:rPr>
        <w:t>Separat redovisning av olika verksamheter (5 § Transparenslagen)</w:t>
      </w:r>
    </w:p>
    <w:p w14:paraId="55CE4C1A" w14:textId="77777777" w:rsidR="00E024D9" w:rsidRPr="008A61CB" w:rsidRDefault="00E024D9" w:rsidP="00E024D9">
      <w:pPr>
        <w:ind w:right="-108"/>
        <w:outlineLvl w:val="0"/>
        <w:rPr>
          <w:rFonts w:cstheme="minorHAnsi"/>
          <w:b/>
          <w:bCs/>
        </w:rPr>
      </w:pPr>
      <w:r w:rsidRPr="008A61CB">
        <w:rPr>
          <w:rFonts w:cstheme="minorHAnsi"/>
          <w:b/>
          <w:bCs/>
        </w:rPr>
        <w:t>Organisation och finansiering</w:t>
      </w:r>
    </w:p>
    <w:p w14:paraId="664A762E" w14:textId="77777777" w:rsidR="00E024D9" w:rsidRPr="008A61CB" w:rsidRDefault="00E024D9" w:rsidP="00E024D9">
      <w:pPr>
        <w:ind w:right="-108"/>
        <w:rPr>
          <w:rFonts w:cstheme="minorHAnsi"/>
        </w:rPr>
      </w:pPr>
      <w:r w:rsidRPr="008A61CB">
        <w:rPr>
          <w:rFonts w:cstheme="minorHAnsi"/>
        </w:rPr>
        <w:t xml:space="preserve">Verksamheten vid lärosätet är organiserad i enlighet med vad som föreskrivs i andra kapitlet i högskolelagen. </w:t>
      </w:r>
    </w:p>
    <w:p w14:paraId="2C182BFC" w14:textId="5CCEF2ED" w:rsidR="007C1B22" w:rsidRPr="008A61CB" w:rsidRDefault="00E024D9" w:rsidP="00E024D9">
      <w:pPr>
        <w:ind w:right="-108"/>
        <w:rPr>
          <w:rFonts w:cstheme="minorHAnsi"/>
        </w:rPr>
      </w:pPr>
      <w:r w:rsidRPr="008A61CB">
        <w:rPr>
          <w:rFonts w:cstheme="minorHAnsi"/>
        </w:rPr>
        <w:t xml:space="preserve">Den </w:t>
      </w:r>
      <w:r w:rsidRPr="00746912">
        <w:rPr>
          <w:rFonts w:cstheme="minorHAnsi"/>
          <w:i/>
          <w:iCs/>
        </w:rPr>
        <w:t>konkurrensskyddade verksamheten</w:t>
      </w:r>
      <w:r w:rsidRPr="008A61CB">
        <w:rPr>
          <w:rFonts w:cstheme="minorHAnsi"/>
        </w:rPr>
        <w:t>, vilken bedrivs med särskilda rättigheter, utgörs av grund</w:t>
      </w:r>
      <w:r w:rsidRPr="008A61CB">
        <w:rPr>
          <w:rFonts w:cstheme="minorHAnsi"/>
        </w:rPr>
        <w:softHyphen/>
        <w:t>utbildning, forskning/forskarutbildning och högskoleprovet. Grundutbildning och forskning</w:t>
      </w:r>
      <w:r w:rsidRPr="008A61CB">
        <w:rPr>
          <w:rFonts w:cstheme="minorHAnsi"/>
        </w:rPr>
        <w:softHyphen/>
        <w:t>/forskar</w:t>
      </w:r>
      <w:r w:rsidRPr="008A61CB">
        <w:rPr>
          <w:rFonts w:cstheme="minorHAnsi"/>
        </w:rPr>
        <w:softHyphen/>
        <w:t>utbildning finansieras främst med statsanslag och bidrag från andra myndigheter, kom</w:t>
      </w:r>
      <w:r w:rsidRPr="008A61CB">
        <w:rPr>
          <w:rFonts w:cstheme="minorHAnsi"/>
        </w:rPr>
        <w:softHyphen/>
        <w:t>muner</w:t>
      </w:r>
      <w:r w:rsidR="00C86AF2">
        <w:rPr>
          <w:rFonts w:cstheme="minorHAnsi"/>
        </w:rPr>
        <w:t xml:space="preserve"> och</w:t>
      </w:r>
      <w:r w:rsidRPr="008A61CB">
        <w:rPr>
          <w:rFonts w:cstheme="minorHAnsi"/>
        </w:rPr>
        <w:t xml:space="preserve"> </w:t>
      </w:r>
      <w:r w:rsidRPr="00BC2934">
        <w:rPr>
          <w:rFonts w:cstheme="minorHAnsi"/>
        </w:rPr>
        <w:t>regioner</w:t>
      </w:r>
      <w:r w:rsidRPr="008A61CB">
        <w:rPr>
          <w:rFonts w:cstheme="minorHAnsi"/>
        </w:rPr>
        <w:t xml:space="preserve">, företag och organisationer. </w:t>
      </w:r>
      <w:r w:rsidR="007C1B22" w:rsidRPr="008A61CB">
        <w:rPr>
          <w:rFonts w:cstheme="minorHAnsi"/>
        </w:rPr>
        <w:t xml:space="preserve">En liten del av verksamheten finansieras av avgifter enligt 4 § Avgiftsförordningen. Därutöver finansieras högskoleprovet med avgifter och dessa får tas ut enligt 3 § Avgiftsförordningen. </w:t>
      </w:r>
    </w:p>
    <w:p w14:paraId="74CBFCB7" w14:textId="50AAF8E8" w:rsidR="008C1DCE" w:rsidRPr="008C1DCE" w:rsidRDefault="00E024D9" w:rsidP="00E024D9">
      <w:pPr>
        <w:ind w:right="-108"/>
        <w:outlineLvl w:val="0"/>
        <w:rPr>
          <w:rFonts w:cstheme="minorHAnsi"/>
          <w:strike/>
          <w:color w:val="FF0000"/>
        </w:rPr>
      </w:pPr>
      <w:r w:rsidRPr="008A61CB">
        <w:rPr>
          <w:rFonts w:cstheme="minorHAnsi"/>
        </w:rPr>
        <w:t xml:space="preserve">Den </w:t>
      </w:r>
      <w:r w:rsidRPr="00746912">
        <w:rPr>
          <w:rFonts w:cstheme="minorHAnsi"/>
          <w:i/>
          <w:iCs/>
        </w:rPr>
        <w:t>konkurrensutsatta verksamheten</w:t>
      </w:r>
      <w:r w:rsidRPr="008A61CB">
        <w:rPr>
          <w:rFonts w:cstheme="minorHAnsi"/>
        </w:rPr>
        <w:t xml:space="preserve"> utgörs av uppdragsutbildning, uppdragsforskning</w:t>
      </w:r>
      <w:r w:rsidR="00C14DA0" w:rsidRPr="008A61CB">
        <w:rPr>
          <w:rFonts w:cstheme="minorHAnsi"/>
        </w:rPr>
        <w:t xml:space="preserve"> och</w:t>
      </w:r>
      <w:r w:rsidRPr="008A61CB">
        <w:rPr>
          <w:rFonts w:cstheme="minorHAnsi"/>
        </w:rPr>
        <w:t xml:space="preserve"> </w:t>
      </w:r>
      <w:r w:rsidR="00133CEE" w:rsidRPr="00BC2934">
        <w:rPr>
          <w:rFonts w:cstheme="minorHAnsi"/>
        </w:rPr>
        <w:t>utbildning av studieavgiftsskyldiga studenter</w:t>
      </w:r>
      <w:r w:rsidR="00065F1C">
        <w:rPr>
          <w:rFonts w:cstheme="minorHAnsi"/>
        </w:rPr>
        <w:t>,</w:t>
      </w:r>
      <w:r w:rsidRPr="008A61CB">
        <w:rPr>
          <w:rFonts w:cstheme="minorHAnsi"/>
        </w:rPr>
        <w:t xml:space="preserve"> </w:t>
      </w:r>
      <w:r w:rsidRPr="00065F1C">
        <w:rPr>
          <w:rFonts w:cstheme="minorHAnsi"/>
        </w:rPr>
        <w:t>samt Holdingbolag</w:t>
      </w:r>
      <w:r w:rsidRPr="008A61CB">
        <w:rPr>
          <w:rFonts w:cstheme="minorHAnsi"/>
        </w:rPr>
        <w:t xml:space="preserve">. Verksamheten finansieras med avgifter </w:t>
      </w:r>
      <w:r w:rsidR="00065F1C" w:rsidRPr="00065F1C">
        <w:rPr>
          <w:rFonts w:cstheme="minorHAnsi"/>
        </w:rPr>
        <w:t>enligt 3 §</w:t>
      </w:r>
      <w:r w:rsidR="00065F1C" w:rsidRPr="008A61CB">
        <w:rPr>
          <w:rFonts w:cstheme="minorHAnsi"/>
        </w:rPr>
        <w:t xml:space="preserve"> Avgiftsförordningen</w:t>
      </w:r>
      <w:r w:rsidR="00065F1C">
        <w:rPr>
          <w:rFonts w:cstheme="minorHAnsi"/>
        </w:rPr>
        <w:t xml:space="preserve"> </w:t>
      </w:r>
      <w:r w:rsidRPr="008A61CB">
        <w:rPr>
          <w:rFonts w:cstheme="minorHAnsi"/>
        </w:rPr>
        <w:t xml:space="preserve">från andra myndigheter, kommuner </w:t>
      </w:r>
      <w:r w:rsidR="00995B0B" w:rsidRPr="00065F1C">
        <w:rPr>
          <w:rFonts w:cstheme="minorHAnsi"/>
        </w:rPr>
        <w:t>och regioner</w:t>
      </w:r>
      <w:r w:rsidRPr="008A61CB">
        <w:rPr>
          <w:rFonts w:cstheme="minorHAnsi"/>
        </w:rPr>
        <w:t xml:space="preserve">, företag och organisationer. </w:t>
      </w:r>
    </w:p>
    <w:p w14:paraId="477B1D85" w14:textId="45547371" w:rsidR="007C1B22" w:rsidRPr="008A61CB" w:rsidRDefault="007C1B22" w:rsidP="007C1B22">
      <w:pPr>
        <w:pStyle w:val="Brdtext"/>
        <w:rPr>
          <w:rStyle w:val="Fetstil"/>
          <w:rFonts w:cstheme="minorHAnsi"/>
          <w:sz w:val="22"/>
          <w:szCs w:val="22"/>
        </w:rPr>
      </w:pPr>
      <w:r w:rsidRPr="008A61CB">
        <w:rPr>
          <w:rStyle w:val="Fetstil"/>
          <w:rFonts w:cstheme="minorHAnsi"/>
          <w:sz w:val="22"/>
          <w:szCs w:val="22"/>
        </w:rPr>
        <w:t>Intäkter och kostnader 20XX</w:t>
      </w:r>
    </w:p>
    <w:p w14:paraId="59284D68" w14:textId="77777777" w:rsidR="007C1B22" w:rsidRPr="008A61CB" w:rsidRDefault="007C1B22" w:rsidP="007C1B22">
      <w:pPr>
        <w:pStyle w:val="Brdtext"/>
        <w:rPr>
          <w:rFonts w:cstheme="minorHAnsi"/>
          <w:sz w:val="22"/>
          <w:szCs w:val="22"/>
        </w:rPr>
      </w:pPr>
      <w:r w:rsidRPr="008A61CB">
        <w:rPr>
          <w:rFonts w:cstheme="minorHAnsi"/>
          <w:sz w:val="22"/>
          <w:szCs w:val="22"/>
        </w:rPr>
        <w:t>Uppgifterna är hämtade ur årsredovisningen.</w:t>
      </w:r>
    </w:p>
    <w:tbl>
      <w:tblPr>
        <w:tblW w:w="7000" w:type="dxa"/>
        <w:tblCellMar>
          <w:left w:w="70" w:type="dxa"/>
          <w:right w:w="70" w:type="dxa"/>
        </w:tblCellMar>
        <w:tblLook w:val="04A0" w:firstRow="1" w:lastRow="0" w:firstColumn="1" w:lastColumn="0" w:noHBand="0" w:noVBand="1"/>
      </w:tblPr>
      <w:tblGrid>
        <w:gridCol w:w="4060"/>
        <w:gridCol w:w="380"/>
        <w:gridCol w:w="1340"/>
        <w:gridCol w:w="1220"/>
      </w:tblGrid>
      <w:tr w:rsidR="007C1B22" w:rsidRPr="008A61CB" w14:paraId="1EC5CF9B" w14:textId="77777777" w:rsidTr="00FE2C4F">
        <w:trPr>
          <w:trHeight w:val="288"/>
        </w:trPr>
        <w:tc>
          <w:tcPr>
            <w:tcW w:w="4060" w:type="dxa"/>
            <w:tcBorders>
              <w:top w:val="nil"/>
              <w:left w:val="nil"/>
              <w:bottom w:val="single" w:sz="4" w:space="0" w:color="auto"/>
              <w:right w:val="nil"/>
            </w:tcBorders>
            <w:shd w:val="clear" w:color="auto" w:fill="auto"/>
            <w:noWrap/>
            <w:vAlign w:val="bottom"/>
            <w:hideMark/>
          </w:tcPr>
          <w:p w14:paraId="7A2E83AB" w14:textId="77777777" w:rsidR="007C1B22" w:rsidRPr="008A61CB" w:rsidRDefault="007C1B22" w:rsidP="00C14DA0">
            <w:pPr>
              <w:spacing w:after="0" w:line="240" w:lineRule="auto"/>
              <w:rPr>
                <w:rFonts w:cstheme="minorHAnsi"/>
                <w:color w:val="000000"/>
                <w:sz w:val="18"/>
                <w:szCs w:val="18"/>
              </w:rPr>
            </w:pPr>
            <w:r w:rsidRPr="008A61CB">
              <w:rPr>
                <w:rFonts w:cstheme="minorHAnsi"/>
                <w:color w:val="000000"/>
                <w:sz w:val="18"/>
                <w:szCs w:val="18"/>
              </w:rPr>
              <w:t>(belopp i tkr)</w:t>
            </w:r>
          </w:p>
        </w:tc>
        <w:tc>
          <w:tcPr>
            <w:tcW w:w="380" w:type="dxa"/>
            <w:tcBorders>
              <w:top w:val="nil"/>
              <w:left w:val="nil"/>
              <w:bottom w:val="single" w:sz="4" w:space="0" w:color="auto"/>
              <w:right w:val="nil"/>
            </w:tcBorders>
            <w:shd w:val="clear" w:color="auto" w:fill="auto"/>
            <w:noWrap/>
            <w:vAlign w:val="bottom"/>
            <w:hideMark/>
          </w:tcPr>
          <w:p w14:paraId="657E1EBF" w14:textId="77777777" w:rsidR="007C1B22" w:rsidRPr="008A61CB" w:rsidRDefault="007C1B22" w:rsidP="00C14DA0">
            <w:pPr>
              <w:spacing w:after="0" w:line="240" w:lineRule="auto"/>
              <w:rPr>
                <w:rFonts w:cstheme="minorHAnsi"/>
                <w:color w:val="000000"/>
                <w:sz w:val="20"/>
              </w:rPr>
            </w:pPr>
            <w:r w:rsidRPr="008A61CB">
              <w:rPr>
                <w:rFonts w:cstheme="minorHAnsi"/>
                <w:color w:val="000000"/>
                <w:sz w:val="20"/>
              </w:rPr>
              <w:t> </w:t>
            </w:r>
          </w:p>
        </w:tc>
        <w:tc>
          <w:tcPr>
            <w:tcW w:w="1340" w:type="dxa"/>
            <w:tcBorders>
              <w:top w:val="nil"/>
              <w:left w:val="nil"/>
              <w:bottom w:val="single" w:sz="4" w:space="0" w:color="auto"/>
              <w:right w:val="nil"/>
            </w:tcBorders>
            <w:shd w:val="clear" w:color="auto" w:fill="auto"/>
            <w:noWrap/>
            <w:vAlign w:val="bottom"/>
            <w:hideMark/>
          </w:tcPr>
          <w:p w14:paraId="326E6752" w14:textId="77777777" w:rsidR="007C1B22" w:rsidRPr="008A61CB" w:rsidRDefault="007C1B22" w:rsidP="00C14DA0">
            <w:pPr>
              <w:spacing w:after="0" w:line="240" w:lineRule="auto"/>
              <w:jc w:val="center"/>
              <w:rPr>
                <w:rFonts w:cstheme="minorHAnsi"/>
                <w:b/>
                <w:bCs/>
                <w:color w:val="000000"/>
                <w:sz w:val="20"/>
              </w:rPr>
            </w:pPr>
            <w:r w:rsidRPr="008A61CB">
              <w:rPr>
                <w:rFonts w:cstheme="minorHAnsi"/>
                <w:b/>
                <w:bCs/>
                <w:color w:val="000000"/>
                <w:sz w:val="20"/>
              </w:rPr>
              <w:t>Intäkter</w:t>
            </w:r>
          </w:p>
        </w:tc>
        <w:tc>
          <w:tcPr>
            <w:tcW w:w="1220" w:type="dxa"/>
            <w:tcBorders>
              <w:top w:val="nil"/>
              <w:left w:val="nil"/>
              <w:bottom w:val="single" w:sz="4" w:space="0" w:color="auto"/>
              <w:right w:val="nil"/>
            </w:tcBorders>
            <w:shd w:val="clear" w:color="auto" w:fill="auto"/>
            <w:noWrap/>
            <w:vAlign w:val="bottom"/>
            <w:hideMark/>
          </w:tcPr>
          <w:p w14:paraId="507E77C6" w14:textId="77777777" w:rsidR="007C1B22" w:rsidRPr="008A61CB" w:rsidRDefault="007C1B22" w:rsidP="00C14DA0">
            <w:pPr>
              <w:spacing w:after="0" w:line="240" w:lineRule="auto"/>
              <w:jc w:val="center"/>
              <w:rPr>
                <w:rFonts w:cstheme="minorHAnsi"/>
                <w:b/>
                <w:bCs/>
                <w:color w:val="000000"/>
                <w:sz w:val="20"/>
              </w:rPr>
            </w:pPr>
            <w:r w:rsidRPr="008A61CB">
              <w:rPr>
                <w:rFonts w:cstheme="minorHAnsi"/>
                <w:b/>
                <w:bCs/>
                <w:color w:val="000000"/>
                <w:sz w:val="20"/>
              </w:rPr>
              <w:t>Kostnader</w:t>
            </w:r>
          </w:p>
        </w:tc>
      </w:tr>
      <w:tr w:rsidR="007C1B22" w:rsidRPr="008A61CB" w14:paraId="1E03969A" w14:textId="77777777" w:rsidTr="00FE2C4F">
        <w:trPr>
          <w:trHeight w:val="288"/>
        </w:trPr>
        <w:tc>
          <w:tcPr>
            <w:tcW w:w="4060" w:type="dxa"/>
            <w:tcBorders>
              <w:top w:val="nil"/>
              <w:left w:val="nil"/>
              <w:bottom w:val="nil"/>
              <w:right w:val="nil"/>
            </w:tcBorders>
            <w:shd w:val="clear" w:color="auto" w:fill="auto"/>
            <w:noWrap/>
            <w:vAlign w:val="bottom"/>
            <w:hideMark/>
          </w:tcPr>
          <w:p w14:paraId="25BA3DA2" w14:textId="77777777" w:rsidR="007C1B22" w:rsidRPr="008A61CB" w:rsidRDefault="007C1B22" w:rsidP="00C14DA0">
            <w:pPr>
              <w:spacing w:after="0" w:line="240" w:lineRule="auto"/>
              <w:rPr>
                <w:rFonts w:cstheme="minorHAnsi"/>
                <w:b/>
                <w:bCs/>
                <w:color w:val="000000"/>
                <w:sz w:val="20"/>
              </w:rPr>
            </w:pPr>
            <w:r w:rsidRPr="008A61CB">
              <w:rPr>
                <w:rFonts w:cstheme="minorHAnsi"/>
                <w:b/>
                <w:bCs/>
                <w:color w:val="000000"/>
                <w:sz w:val="20"/>
              </w:rPr>
              <w:t>Konkurrensskyddad verksamhet</w:t>
            </w:r>
          </w:p>
        </w:tc>
        <w:tc>
          <w:tcPr>
            <w:tcW w:w="380" w:type="dxa"/>
            <w:tcBorders>
              <w:top w:val="nil"/>
              <w:left w:val="nil"/>
              <w:bottom w:val="nil"/>
              <w:right w:val="nil"/>
            </w:tcBorders>
            <w:shd w:val="clear" w:color="auto" w:fill="auto"/>
            <w:noWrap/>
            <w:vAlign w:val="bottom"/>
            <w:hideMark/>
          </w:tcPr>
          <w:p w14:paraId="74DB3EE6" w14:textId="77777777" w:rsidR="007C1B22" w:rsidRPr="008A61CB" w:rsidRDefault="007C1B22" w:rsidP="00C14DA0">
            <w:pPr>
              <w:spacing w:after="0" w:line="240" w:lineRule="auto"/>
              <w:rPr>
                <w:rFonts w:cstheme="minorHAnsi"/>
                <w:b/>
                <w:bCs/>
                <w:color w:val="000000"/>
                <w:sz w:val="20"/>
              </w:rPr>
            </w:pPr>
          </w:p>
        </w:tc>
        <w:tc>
          <w:tcPr>
            <w:tcW w:w="1340" w:type="dxa"/>
            <w:tcBorders>
              <w:top w:val="nil"/>
              <w:left w:val="nil"/>
              <w:bottom w:val="nil"/>
              <w:right w:val="nil"/>
            </w:tcBorders>
            <w:shd w:val="clear" w:color="auto" w:fill="auto"/>
            <w:noWrap/>
            <w:vAlign w:val="bottom"/>
            <w:hideMark/>
          </w:tcPr>
          <w:p w14:paraId="1A08EF99" w14:textId="77777777" w:rsidR="007C1B22" w:rsidRPr="008A61CB" w:rsidRDefault="007C1B22" w:rsidP="00C14DA0">
            <w:pPr>
              <w:spacing w:after="0" w:line="240" w:lineRule="auto"/>
              <w:rPr>
                <w:rFonts w:cstheme="minorHAnsi"/>
                <w:sz w:val="20"/>
              </w:rPr>
            </w:pPr>
          </w:p>
        </w:tc>
        <w:tc>
          <w:tcPr>
            <w:tcW w:w="1220" w:type="dxa"/>
            <w:tcBorders>
              <w:top w:val="nil"/>
              <w:left w:val="nil"/>
              <w:bottom w:val="nil"/>
              <w:right w:val="nil"/>
            </w:tcBorders>
            <w:shd w:val="clear" w:color="auto" w:fill="auto"/>
            <w:noWrap/>
            <w:vAlign w:val="bottom"/>
            <w:hideMark/>
          </w:tcPr>
          <w:p w14:paraId="63DC85BD" w14:textId="77777777" w:rsidR="007C1B22" w:rsidRPr="008A61CB" w:rsidRDefault="007C1B22" w:rsidP="00C14DA0">
            <w:pPr>
              <w:spacing w:after="0" w:line="240" w:lineRule="auto"/>
              <w:rPr>
                <w:rFonts w:cstheme="minorHAnsi"/>
                <w:sz w:val="20"/>
              </w:rPr>
            </w:pPr>
          </w:p>
        </w:tc>
      </w:tr>
      <w:tr w:rsidR="007C1B22" w:rsidRPr="008A61CB" w14:paraId="41959208" w14:textId="77777777" w:rsidTr="00FE2C4F">
        <w:trPr>
          <w:trHeight w:val="288"/>
        </w:trPr>
        <w:tc>
          <w:tcPr>
            <w:tcW w:w="4060" w:type="dxa"/>
            <w:tcBorders>
              <w:top w:val="nil"/>
              <w:left w:val="nil"/>
              <w:bottom w:val="nil"/>
              <w:right w:val="nil"/>
            </w:tcBorders>
            <w:shd w:val="clear" w:color="auto" w:fill="auto"/>
            <w:noWrap/>
            <w:vAlign w:val="bottom"/>
            <w:hideMark/>
          </w:tcPr>
          <w:p w14:paraId="0AB55DDA" w14:textId="77777777" w:rsidR="007C1B22" w:rsidRPr="008A61CB" w:rsidRDefault="007C1B22" w:rsidP="00C14DA0">
            <w:pPr>
              <w:spacing w:after="0" w:line="240" w:lineRule="auto"/>
              <w:rPr>
                <w:rFonts w:cstheme="minorHAnsi"/>
                <w:color w:val="000000"/>
                <w:sz w:val="20"/>
              </w:rPr>
            </w:pPr>
            <w:r w:rsidRPr="008A61CB">
              <w:rPr>
                <w:rFonts w:cstheme="minorHAnsi"/>
                <w:color w:val="000000"/>
                <w:sz w:val="20"/>
              </w:rPr>
              <w:t xml:space="preserve">Utbildning på grund- och avancerad nivå </w:t>
            </w:r>
          </w:p>
        </w:tc>
        <w:tc>
          <w:tcPr>
            <w:tcW w:w="380" w:type="dxa"/>
            <w:tcBorders>
              <w:top w:val="nil"/>
              <w:left w:val="nil"/>
              <w:bottom w:val="nil"/>
              <w:right w:val="nil"/>
            </w:tcBorders>
            <w:shd w:val="clear" w:color="auto" w:fill="auto"/>
            <w:noWrap/>
            <w:vAlign w:val="bottom"/>
            <w:hideMark/>
          </w:tcPr>
          <w:p w14:paraId="6ADE27BE" w14:textId="77777777" w:rsidR="007C1B22" w:rsidRPr="008A61CB" w:rsidRDefault="007C1B22" w:rsidP="00C14DA0">
            <w:pPr>
              <w:spacing w:after="0" w:line="240" w:lineRule="auto"/>
              <w:rPr>
                <w:rFonts w:cstheme="minorHAnsi"/>
                <w:color w:val="000000"/>
                <w:sz w:val="20"/>
              </w:rPr>
            </w:pPr>
          </w:p>
        </w:tc>
        <w:tc>
          <w:tcPr>
            <w:tcW w:w="1340" w:type="dxa"/>
            <w:tcBorders>
              <w:top w:val="nil"/>
              <w:left w:val="nil"/>
              <w:bottom w:val="nil"/>
              <w:right w:val="nil"/>
            </w:tcBorders>
            <w:shd w:val="clear" w:color="auto" w:fill="auto"/>
            <w:noWrap/>
            <w:vAlign w:val="bottom"/>
            <w:hideMark/>
          </w:tcPr>
          <w:p w14:paraId="67A7A306" w14:textId="07ADEB1C" w:rsidR="007C1B22" w:rsidRPr="008A61CB" w:rsidRDefault="00C14DA0" w:rsidP="00C14DA0">
            <w:pPr>
              <w:spacing w:after="0" w:line="240" w:lineRule="auto"/>
              <w:jc w:val="right"/>
              <w:rPr>
                <w:rFonts w:cstheme="minorHAnsi"/>
                <w:color w:val="000000"/>
                <w:sz w:val="20"/>
              </w:rPr>
            </w:pPr>
            <w:r w:rsidRPr="008A61CB">
              <w:rPr>
                <w:rFonts w:cstheme="minorHAnsi"/>
                <w:color w:val="000000"/>
                <w:sz w:val="20"/>
              </w:rPr>
              <w:t>XX</w:t>
            </w:r>
          </w:p>
        </w:tc>
        <w:tc>
          <w:tcPr>
            <w:tcW w:w="1220" w:type="dxa"/>
            <w:tcBorders>
              <w:top w:val="nil"/>
              <w:left w:val="nil"/>
              <w:bottom w:val="nil"/>
              <w:right w:val="nil"/>
            </w:tcBorders>
            <w:shd w:val="clear" w:color="auto" w:fill="auto"/>
            <w:noWrap/>
            <w:vAlign w:val="bottom"/>
            <w:hideMark/>
          </w:tcPr>
          <w:p w14:paraId="252618E3" w14:textId="45974BA7" w:rsidR="007C1B22" w:rsidRPr="008A61CB" w:rsidRDefault="00C14DA0" w:rsidP="00C14DA0">
            <w:pPr>
              <w:spacing w:after="0" w:line="240" w:lineRule="auto"/>
              <w:jc w:val="right"/>
              <w:rPr>
                <w:rFonts w:cstheme="minorHAnsi"/>
                <w:color w:val="000000"/>
                <w:sz w:val="20"/>
              </w:rPr>
            </w:pPr>
            <w:r w:rsidRPr="008A61CB">
              <w:rPr>
                <w:rFonts w:cstheme="minorHAnsi"/>
                <w:color w:val="000000"/>
                <w:sz w:val="20"/>
              </w:rPr>
              <w:t>XX</w:t>
            </w:r>
          </w:p>
        </w:tc>
      </w:tr>
      <w:tr w:rsidR="007C1B22" w:rsidRPr="008A61CB" w14:paraId="47787D8C" w14:textId="77777777" w:rsidTr="00FE2C4F">
        <w:trPr>
          <w:trHeight w:val="288"/>
        </w:trPr>
        <w:tc>
          <w:tcPr>
            <w:tcW w:w="4060" w:type="dxa"/>
            <w:tcBorders>
              <w:top w:val="nil"/>
              <w:left w:val="nil"/>
              <w:bottom w:val="nil"/>
              <w:right w:val="nil"/>
            </w:tcBorders>
            <w:shd w:val="clear" w:color="auto" w:fill="auto"/>
            <w:noWrap/>
            <w:vAlign w:val="bottom"/>
            <w:hideMark/>
          </w:tcPr>
          <w:p w14:paraId="22102762" w14:textId="77777777" w:rsidR="007C1B22" w:rsidRPr="008A61CB" w:rsidRDefault="007C1B22" w:rsidP="00C14DA0">
            <w:pPr>
              <w:spacing w:after="0" w:line="240" w:lineRule="auto"/>
              <w:rPr>
                <w:rFonts w:cstheme="minorHAnsi"/>
                <w:color w:val="000000"/>
                <w:sz w:val="20"/>
              </w:rPr>
            </w:pPr>
            <w:r w:rsidRPr="008A61CB">
              <w:rPr>
                <w:rFonts w:cstheme="minorHAnsi"/>
                <w:color w:val="000000"/>
                <w:sz w:val="20"/>
              </w:rPr>
              <w:t>Forskning och utbildning på forskarnivå</w:t>
            </w:r>
          </w:p>
        </w:tc>
        <w:tc>
          <w:tcPr>
            <w:tcW w:w="380" w:type="dxa"/>
            <w:tcBorders>
              <w:top w:val="nil"/>
              <w:left w:val="nil"/>
              <w:bottom w:val="nil"/>
              <w:right w:val="nil"/>
            </w:tcBorders>
            <w:shd w:val="clear" w:color="auto" w:fill="auto"/>
            <w:noWrap/>
            <w:vAlign w:val="bottom"/>
            <w:hideMark/>
          </w:tcPr>
          <w:p w14:paraId="60C39259" w14:textId="77777777" w:rsidR="007C1B22" w:rsidRPr="008A61CB" w:rsidRDefault="007C1B22" w:rsidP="00C14DA0">
            <w:pPr>
              <w:spacing w:after="0" w:line="240" w:lineRule="auto"/>
              <w:rPr>
                <w:rFonts w:cstheme="minorHAnsi"/>
                <w:color w:val="000000"/>
                <w:sz w:val="20"/>
              </w:rPr>
            </w:pPr>
          </w:p>
        </w:tc>
        <w:tc>
          <w:tcPr>
            <w:tcW w:w="1340" w:type="dxa"/>
            <w:tcBorders>
              <w:top w:val="nil"/>
              <w:left w:val="nil"/>
              <w:bottom w:val="nil"/>
              <w:right w:val="nil"/>
            </w:tcBorders>
            <w:shd w:val="clear" w:color="auto" w:fill="auto"/>
            <w:noWrap/>
            <w:vAlign w:val="bottom"/>
            <w:hideMark/>
          </w:tcPr>
          <w:p w14:paraId="49D23F91" w14:textId="48EED315" w:rsidR="007C1B22" w:rsidRPr="008A61CB" w:rsidRDefault="00C14DA0" w:rsidP="00C14DA0">
            <w:pPr>
              <w:spacing w:after="0" w:line="240" w:lineRule="auto"/>
              <w:jc w:val="right"/>
              <w:rPr>
                <w:rFonts w:cstheme="minorHAnsi"/>
                <w:color w:val="000000"/>
                <w:sz w:val="20"/>
              </w:rPr>
            </w:pPr>
            <w:r w:rsidRPr="008A61CB">
              <w:rPr>
                <w:rFonts w:cstheme="minorHAnsi"/>
                <w:color w:val="000000"/>
                <w:sz w:val="20"/>
              </w:rPr>
              <w:t>XX</w:t>
            </w:r>
          </w:p>
        </w:tc>
        <w:tc>
          <w:tcPr>
            <w:tcW w:w="1220" w:type="dxa"/>
            <w:tcBorders>
              <w:top w:val="nil"/>
              <w:left w:val="nil"/>
              <w:bottom w:val="nil"/>
              <w:right w:val="nil"/>
            </w:tcBorders>
            <w:shd w:val="clear" w:color="auto" w:fill="auto"/>
            <w:noWrap/>
            <w:vAlign w:val="bottom"/>
            <w:hideMark/>
          </w:tcPr>
          <w:p w14:paraId="21DD7259" w14:textId="4F984FC1" w:rsidR="007C1B22" w:rsidRPr="008A61CB" w:rsidRDefault="00C14DA0" w:rsidP="00C14DA0">
            <w:pPr>
              <w:spacing w:after="0" w:line="240" w:lineRule="auto"/>
              <w:jc w:val="right"/>
              <w:rPr>
                <w:rFonts w:cstheme="minorHAnsi"/>
                <w:color w:val="000000"/>
                <w:sz w:val="20"/>
              </w:rPr>
            </w:pPr>
            <w:r w:rsidRPr="008A61CB">
              <w:rPr>
                <w:rFonts w:cstheme="minorHAnsi"/>
                <w:color w:val="000000"/>
                <w:sz w:val="20"/>
              </w:rPr>
              <w:t>XX</w:t>
            </w:r>
          </w:p>
        </w:tc>
      </w:tr>
      <w:tr w:rsidR="007C1B22" w:rsidRPr="008A61CB" w14:paraId="74D1935E" w14:textId="77777777" w:rsidTr="00FE2C4F">
        <w:trPr>
          <w:trHeight w:val="288"/>
        </w:trPr>
        <w:tc>
          <w:tcPr>
            <w:tcW w:w="4060" w:type="dxa"/>
            <w:tcBorders>
              <w:top w:val="nil"/>
              <w:left w:val="nil"/>
              <w:bottom w:val="nil"/>
              <w:right w:val="nil"/>
            </w:tcBorders>
            <w:shd w:val="clear" w:color="auto" w:fill="auto"/>
            <w:noWrap/>
            <w:vAlign w:val="bottom"/>
            <w:hideMark/>
          </w:tcPr>
          <w:p w14:paraId="74754D0E" w14:textId="77777777" w:rsidR="007C1B22" w:rsidRPr="008A61CB" w:rsidRDefault="007C1B22" w:rsidP="00C14DA0">
            <w:pPr>
              <w:spacing w:after="0" w:line="240" w:lineRule="auto"/>
              <w:rPr>
                <w:rFonts w:cstheme="minorHAnsi"/>
                <w:color w:val="000000"/>
                <w:sz w:val="20"/>
              </w:rPr>
            </w:pPr>
            <w:r w:rsidRPr="008A61CB">
              <w:rPr>
                <w:rFonts w:cstheme="minorHAnsi"/>
                <w:color w:val="000000"/>
                <w:sz w:val="20"/>
              </w:rPr>
              <w:t>Högskoleprovet</w:t>
            </w:r>
          </w:p>
        </w:tc>
        <w:tc>
          <w:tcPr>
            <w:tcW w:w="380" w:type="dxa"/>
            <w:tcBorders>
              <w:top w:val="nil"/>
              <w:left w:val="nil"/>
              <w:bottom w:val="nil"/>
              <w:right w:val="nil"/>
            </w:tcBorders>
            <w:shd w:val="clear" w:color="auto" w:fill="auto"/>
            <w:noWrap/>
            <w:vAlign w:val="bottom"/>
            <w:hideMark/>
          </w:tcPr>
          <w:p w14:paraId="531A1330" w14:textId="77777777" w:rsidR="007C1B22" w:rsidRPr="008A61CB" w:rsidRDefault="007C1B22" w:rsidP="00C14DA0">
            <w:pPr>
              <w:spacing w:after="0" w:line="240" w:lineRule="auto"/>
              <w:rPr>
                <w:rFonts w:cstheme="minorHAnsi"/>
                <w:color w:val="000000"/>
                <w:sz w:val="20"/>
              </w:rPr>
            </w:pPr>
          </w:p>
        </w:tc>
        <w:tc>
          <w:tcPr>
            <w:tcW w:w="1340" w:type="dxa"/>
            <w:tcBorders>
              <w:top w:val="nil"/>
              <w:left w:val="nil"/>
              <w:bottom w:val="nil"/>
              <w:right w:val="nil"/>
            </w:tcBorders>
            <w:shd w:val="clear" w:color="auto" w:fill="auto"/>
            <w:noWrap/>
            <w:vAlign w:val="bottom"/>
            <w:hideMark/>
          </w:tcPr>
          <w:p w14:paraId="2A5EF114" w14:textId="10D614B0" w:rsidR="007C1B22" w:rsidRPr="008A61CB" w:rsidRDefault="00C14DA0" w:rsidP="00C14DA0">
            <w:pPr>
              <w:spacing w:after="0" w:line="240" w:lineRule="auto"/>
              <w:jc w:val="right"/>
              <w:rPr>
                <w:rFonts w:cstheme="minorHAnsi"/>
                <w:color w:val="000000"/>
                <w:sz w:val="20"/>
              </w:rPr>
            </w:pPr>
            <w:r w:rsidRPr="008A61CB">
              <w:rPr>
                <w:rFonts w:cstheme="minorHAnsi"/>
                <w:color w:val="000000"/>
                <w:sz w:val="20"/>
              </w:rPr>
              <w:t>XX</w:t>
            </w:r>
          </w:p>
        </w:tc>
        <w:tc>
          <w:tcPr>
            <w:tcW w:w="1220" w:type="dxa"/>
            <w:tcBorders>
              <w:top w:val="nil"/>
              <w:left w:val="nil"/>
              <w:bottom w:val="nil"/>
              <w:right w:val="nil"/>
            </w:tcBorders>
            <w:shd w:val="clear" w:color="auto" w:fill="auto"/>
            <w:noWrap/>
            <w:vAlign w:val="bottom"/>
            <w:hideMark/>
          </w:tcPr>
          <w:p w14:paraId="17536189" w14:textId="228A3961" w:rsidR="007C1B22" w:rsidRPr="008A61CB" w:rsidRDefault="00C14DA0" w:rsidP="00C14DA0">
            <w:pPr>
              <w:spacing w:after="0" w:line="240" w:lineRule="auto"/>
              <w:jc w:val="right"/>
              <w:rPr>
                <w:rFonts w:cstheme="minorHAnsi"/>
                <w:color w:val="000000"/>
                <w:sz w:val="20"/>
              </w:rPr>
            </w:pPr>
            <w:r w:rsidRPr="008A61CB">
              <w:rPr>
                <w:rFonts w:cstheme="minorHAnsi"/>
                <w:color w:val="000000"/>
                <w:sz w:val="20"/>
              </w:rPr>
              <w:t>XX</w:t>
            </w:r>
          </w:p>
        </w:tc>
      </w:tr>
      <w:tr w:rsidR="007C1B22" w:rsidRPr="008A61CB" w14:paraId="72032788" w14:textId="77777777" w:rsidTr="00FE2C4F">
        <w:trPr>
          <w:trHeight w:val="288"/>
        </w:trPr>
        <w:tc>
          <w:tcPr>
            <w:tcW w:w="4060" w:type="dxa"/>
            <w:tcBorders>
              <w:top w:val="nil"/>
              <w:left w:val="nil"/>
              <w:bottom w:val="nil"/>
              <w:right w:val="nil"/>
            </w:tcBorders>
            <w:shd w:val="clear" w:color="auto" w:fill="auto"/>
            <w:noWrap/>
            <w:vAlign w:val="bottom"/>
            <w:hideMark/>
          </w:tcPr>
          <w:p w14:paraId="270F6BBF" w14:textId="77777777" w:rsidR="007C1B22" w:rsidRPr="008A61CB" w:rsidRDefault="007C1B22" w:rsidP="00C14DA0">
            <w:pPr>
              <w:spacing w:after="0" w:line="240" w:lineRule="auto"/>
              <w:jc w:val="right"/>
              <w:rPr>
                <w:rFonts w:cstheme="minorHAnsi"/>
                <w:color w:val="000000"/>
                <w:sz w:val="20"/>
              </w:rPr>
            </w:pPr>
          </w:p>
        </w:tc>
        <w:tc>
          <w:tcPr>
            <w:tcW w:w="380" w:type="dxa"/>
            <w:tcBorders>
              <w:top w:val="nil"/>
              <w:left w:val="nil"/>
              <w:bottom w:val="nil"/>
              <w:right w:val="nil"/>
            </w:tcBorders>
            <w:shd w:val="clear" w:color="auto" w:fill="auto"/>
            <w:noWrap/>
            <w:vAlign w:val="bottom"/>
            <w:hideMark/>
          </w:tcPr>
          <w:p w14:paraId="15A535C3" w14:textId="77777777" w:rsidR="007C1B22" w:rsidRPr="008A61CB" w:rsidRDefault="007C1B22" w:rsidP="00C14DA0">
            <w:pPr>
              <w:spacing w:after="0" w:line="240" w:lineRule="auto"/>
              <w:rPr>
                <w:rFonts w:cstheme="minorHAnsi"/>
                <w:sz w:val="20"/>
              </w:rPr>
            </w:pPr>
          </w:p>
        </w:tc>
        <w:tc>
          <w:tcPr>
            <w:tcW w:w="1340" w:type="dxa"/>
            <w:tcBorders>
              <w:top w:val="nil"/>
              <w:left w:val="nil"/>
              <w:bottom w:val="nil"/>
              <w:right w:val="nil"/>
            </w:tcBorders>
            <w:shd w:val="clear" w:color="auto" w:fill="auto"/>
            <w:noWrap/>
            <w:vAlign w:val="bottom"/>
            <w:hideMark/>
          </w:tcPr>
          <w:p w14:paraId="7E0C363B" w14:textId="77777777" w:rsidR="007C1B22" w:rsidRPr="008A61CB" w:rsidRDefault="007C1B22" w:rsidP="00C14DA0">
            <w:pPr>
              <w:spacing w:after="0" w:line="240" w:lineRule="auto"/>
              <w:rPr>
                <w:rFonts w:cstheme="minorHAnsi"/>
                <w:sz w:val="20"/>
              </w:rPr>
            </w:pPr>
          </w:p>
        </w:tc>
        <w:tc>
          <w:tcPr>
            <w:tcW w:w="1220" w:type="dxa"/>
            <w:tcBorders>
              <w:top w:val="nil"/>
              <w:left w:val="nil"/>
              <w:bottom w:val="nil"/>
              <w:right w:val="nil"/>
            </w:tcBorders>
            <w:shd w:val="clear" w:color="auto" w:fill="auto"/>
            <w:noWrap/>
            <w:vAlign w:val="bottom"/>
            <w:hideMark/>
          </w:tcPr>
          <w:p w14:paraId="35895EB5" w14:textId="77777777" w:rsidR="007C1B22" w:rsidRPr="008A61CB" w:rsidRDefault="007C1B22" w:rsidP="00C14DA0">
            <w:pPr>
              <w:spacing w:after="0" w:line="240" w:lineRule="auto"/>
              <w:rPr>
                <w:rFonts w:cstheme="minorHAnsi"/>
                <w:sz w:val="20"/>
              </w:rPr>
            </w:pPr>
          </w:p>
        </w:tc>
      </w:tr>
      <w:tr w:rsidR="007C1B22" w:rsidRPr="008A61CB" w14:paraId="2F61F2B3" w14:textId="77777777" w:rsidTr="00FE2C4F">
        <w:trPr>
          <w:trHeight w:val="288"/>
        </w:trPr>
        <w:tc>
          <w:tcPr>
            <w:tcW w:w="4060" w:type="dxa"/>
            <w:tcBorders>
              <w:top w:val="nil"/>
              <w:left w:val="nil"/>
              <w:bottom w:val="nil"/>
              <w:right w:val="nil"/>
            </w:tcBorders>
            <w:shd w:val="clear" w:color="auto" w:fill="auto"/>
            <w:noWrap/>
            <w:vAlign w:val="bottom"/>
            <w:hideMark/>
          </w:tcPr>
          <w:p w14:paraId="7E108E2E" w14:textId="77777777" w:rsidR="007C1B22" w:rsidRPr="008A61CB" w:rsidRDefault="007C1B22" w:rsidP="00C14DA0">
            <w:pPr>
              <w:spacing w:after="0" w:line="240" w:lineRule="auto"/>
              <w:rPr>
                <w:rFonts w:cstheme="minorHAnsi"/>
                <w:b/>
                <w:bCs/>
                <w:color w:val="000000"/>
                <w:sz w:val="20"/>
              </w:rPr>
            </w:pPr>
            <w:r w:rsidRPr="008A61CB">
              <w:rPr>
                <w:rFonts w:cstheme="minorHAnsi"/>
                <w:b/>
                <w:bCs/>
                <w:color w:val="000000"/>
                <w:sz w:val="20"/>
              </w:rPr>
              <w:t>Konkurrensutsatt verksamhet</w:t>
            </w:r>
          </w:p>
        </w:tc>
        <w:tc>
          <w:tcPr>
            <w:tcW w:w="380" w:type="dxa"/>
            <w:tcBorders>
              <w:top w:val="nil"/>
              <w:left w:val="nil"/>
              <w:bottom w:val="nil"/>
              <w:right w:val="nil"/>
            </w:tcBorders>
            <w:shd w:val="clear" w:color="auto" w:fill="auto"/>
            <w:noWrap/>
            <w:vAlign w:val="bottom"/>
            <w:hideMark/>
          </w:tcPr>
          <w:p w14:paraId="5C2B6BA0" w14:textId="77777777" w:rsidR="007C1B22" w:rsidRPr="008A61CB" w:rsidRDefault="007C1B22" w:rsidP="00C14DA0">
            <w:pPr>
              <w:spacing w:after="0" w:line="240" w:lineRule="auto"/>
              <w:rPr>
                <w:rFonts w:cstheme="minorHAnsi"/>
                <w:b/>
                <w:bCs/>
                <w:color w:val="000000"/>
                <w:sz w:val="20"/>
              </w:rPr>
            </w:pPr>
          </w:p>
        </w:tc>
        <w:tc>
          <w:tcPr>
            <w:tcW w:w="1340" w:type="dxa"/>
            <w:tcBorders>
              <w:top w:val="nil"/>
              <w:left w:val="nil"/>
              <w:bottom w:val="nil"/>
              <w:right w:val="nil"/>
            </w:tcBorders>
            <w:shd w:val="clear" w:color="auto" w:fill="auto"/>
            <w:noWrap/>
            <w:vAlign w:val="bottom"/>
            <w:hideMark/>
          </w:tcPr>
          <w:p w14:paraId="08CCCF24" w14:textId="77777777" w:rsidR="007C1B22" w:rsidRPr="008A61CB" w:rsidRDefault="007C1B22" w:rsidP="00C14DA0">
            <w:pPr>
              <w:spacing w:after="0" w:line="240" w:lineRule="auto"/>
              <w:rPr>
                <w:rFonts w:cstheme="minorHAnsi"/>
                <w:sz w:val="20"/>
              </w:rPr>
            </w:pPr>
          </w:p>
        </w:tc>
        <w:tc>
          <w:tcPr>
            <w:tcW w:w="1220" w:type="dxa"/>
            <w:tcBorders>
              <w:top w:val="nil"/>
              <w:left w:val="nil"/>
              <w:bottom w:val="nil"/>
              <w:right w:val="nil"/>
            </w:tcBorders>
            <w:shd w:val="clear" w:color="auto" w:fill="auto"/>
            <w:noWrap/>
            <w:vAlign w:val="bottom"/>
            <w:hideMark/>
          </w:tcPr>
          <w:p w14:paraId="34334EC7" w14:textId="77777777" w:rsidR="007C1B22" w:rsidRPr="008A61CB" w:rsidRDefault="007C1B22" w:rsidP="00C14DA0">
            <w:pPr>
              <w:spacing w:after="0" w:line="240" w:lineRule="auto"/>
              <w:rPr>
                <w:rFonts w:cstheme="minorHAnsi"/>
                <w:sz w:val="20"/>
              </w:rPr>
            </w:pPr>
          </w:p>
        </w:tc>
      </w:tr>
      <w:tr w:rsidR="007C1B22" w:rsidRPr="008A61CB" w14:paraId="077B0FC2" w14:textId="77777777" w:rsidTr="00FE2C4F">
        <w:trPr>
          <w:trHeight w:val="288"/>
        </w:trPr>
        <w:tc>
          <w:tcPr>
            <w:tcW w:w="4060" w:type="dxa"/>
            <w:tcBorders>
              <w:top w:val="nil"/>
              <w:left w:val="nil"/>
              <w:bottom w:val="nil"/>
              <w:right w:val="nil"/>
            </w:tcBorders>
            <w:shd w:val="clear" w:color="auto" w:fill="auto"/>
            <w:noWrap/>
            <w:vAlign w:val="bottom"/>
            <w:hideMark/>
          </w:tcPr>
          <w:p w14:paraId="5BA87EAA" w14:textId="77777777" w:rsidR="007C1B22" w:rsidRPr="008A61CB" w:rsidRDefault="007C1B22" w:rsidP="00C14DA0">
            <w:pPr>
              <w:spacing w:after="0" w:line="240" w:lineRule="auto"/>
              <w:rPr>
                <w:rFonts w:cstheme="minorHAnsi"/>
                <w:color w:val="000000"/>
                <w:sz w:val="20"/>
              </w:rPr>
            </w:pPr>
            <w:r w:rsidRPr="008A61CB">
              <w:rPr>
                <w:rFonts w:cstheme="minorHAnsi"/>
                <w:color w:val="000000"/>
                <w:sz w:val="20"/>
              </w:rPr>
              <w:t>Uppdragsutbildning</w:t>
            </w:r>
          </w:p>
        </w:tc>
        <w:tc>
          <w:tcPr>
            <w:tcW w:w="380" w:type="dxa"/>
            <w:tcBorders>
              <w:top w:val="nil"/>
              <w:left w:val="nil"/>
              <w:bottom w:val="nil"/>
              <w:right w:val="nil"/>
            </w:tcBorders>
            <w:shd w:val="clear" w:color="auto" w:fill="auto"/>
            <w:noWrap/>
            <w:vAlign w:val="bottom"/>
            <w:hideMark/>
          </w:tcPr>
          <w:p w14:paraId="6A101E17" w14:textId="77777777" w:rsidR="007C1B22" w:rsidRPr="008A61CB" w:rsidRDefault="007C1B22" w:rsidP="00C14DA0">
            <w:pPr>
              <w:spacing w:after="0" w:line="240" w:lineRule="auto"/>
              <w:rPr>
                <w:rFonts w:cstheme="minorHAnsi"/>
                <w:color w:val="000000"/>
                <w:sz w:val="20"/>
              </w:rPr>
            </w:pPr>
          </w:p>
        </w:tc>
        <w:tc>
          <w:tcPr>
            <w:tcW w:w="1340" w:type="dxa"/>
            <w:tcBorders>
              <w:top w:val="nil"/>
              <w:left w:val="nil"/>
              <w:bottom w:val="nil"/>
              <w:right w:val="nil"/>
            </w:tcBorders>
            <w:shd w:val="clear" w:color="auto" w:fill="auto"/>
            <w:noWrap/>
            <w:vAlign w:val="bottom"/>
            <w:hideMark/>
          </w:tcPr>
          <w:p w14:paraId="075F4C80" w14:textId="19A095B3" w:rsidR="007C1B22" w:rsidRPr="008A61CB" w:rsidRDefault="00C14DA0" w:rsidP="00C14DA0">
            <w:pPr>
              <w:spacing w:after="0" w:line="240" w:lineRule="auto"/>
              <w:jc w:val="right"/>
              <w:rPr>
                <w:rFonts w:cstheme="minorHAnsi"/>
                <w:color w:val="000000"/>
                <w:sz w:val="20"/>
              </w:rPr>
            </w:pPr>
            <w:r w:rsidRPr="008A61CB">
              <w:rPr>
                <w:rFonts w:cstheme="minorHAnsi"/>
                <w:color w:val="000000"/>
                <w:sz w:val="20"/>
              </w:rPr>
              <w:t>XX</w:t>
            </w:r>
          </w:p>
        </w:tc>
        <w:tc>
          <w:tcPr>
            <w:tcW w:w="1220" w:type="dxa"/>
            <w:tcBorders>
              <w:top w:val="nil"/>
              <w:left w:val="nil"/>
              <w:bottom w:val="nil"/>
              <w:right w:val="nil"/>
            </w:tcBorders>
            <w:shd w:val="clear" w:color="auto" w:fill="auto"/>
            <w:noWrap/>
            <w:vAlign w:val="bottom"/>
            <w:hideMark/>
          </w:tcPr>
          <w:p w14:paraId="6E066C71" w14:textId="59BA6C2B" w:rsidR="007C1B22" w:rsidRPr="008A61CB" w:rsidRDefault="00C14DA0" w:rsidP="00C14DA0">
            <w:pPr>
              <w:spacing w:after="0" w:line="240" w:lineRule="auto"/>
              <w:jc w:val="right"/>
              <w:rPr>
                <w:rFonts w:cstheme="minorHAnsi"/>
                <w:color w:val="000000"/>
                <w:sz w:val="20"/>
              </w:rPr>
            </w:pPr>
            <w:r w:rsidRPr="008A61CB">
              <w:rPr>
                <w:rFonts w:cstheme="minorHAnsi"/>
                <w:color w:val="000000"/>
                <w:sz w:val="20"/>
              </w:rPr>
              <w:t>XX</w:t>
            </w:r>
          </w:p>
        </w:tc>
      </w:tr>
      <w:tr w:rsidR="007C1B22" w:rsidRPr="008A61CB" w14:paraId="5ABAD184" w14:textId="77777777" w:rsidTr="00FE2C4F">
        <w:trPr>
          <w:trHeight w:val="288"/>
        </w:trPr>
        <w:tc>
          <w:tcPr>
            <w:tcW w:w="4060" w:type="dxa"/>
            <w:tcBorders>
              <w:top w:val="nil"/>
              <w:left w:val="nil"/>
              <w:bottom w:val="nil"/>
              <w:right w:val="nil"/>
            </w:tcBorders>
            <w:shd w:val="clear" w:color="auto" w:fill="auto"/>
            <w:noWrap/>
            <w:vAlign w:val="bottom"/>
            <w:hideMark/>
          </w:tcPr>
          <w:p w14:paraId="17183DC0" w14:textId="77777777" w:rsidR="007C1B22" w:rsidRPr="008A61CB" w:rsidRDefault="007C1B22" w:rsidP="00C14DA0">
            <w:pPr>
              <w:spacing w:after="0" w:line="240" w:lineRule="auto"/>
              <w:rPr>
                <w:rFonts w:cstheme="minorHAnsi"/>
                <w:color w:val="000000"/>
                <w:sz w:val="20"/>
              </w:rPr>
            </w:pPr>
            <w:r w:rsidRPr="008A61CB">
              <w:rPr>
                <w:rFonts w:cstheme="minorHAnsi"/>
                <w:color w:val="000000"/>
                <w:sz w:val="20"/>
              </w:rPr>
              <w:t>Uppdragsforskning</w:t>
            </w:r>
          </w:p>
        </w:tc>
        <w:tc>
          <w:tcPr>
            <w:tcW w:w="380" w:type="dxa"/>
            <w:tcBorders>
              <w:top w:val="nil"/>
              <w:left w:val="nil"/>
              <w:bottom w:val="nil"/>
              <w:right w:val="nil"/>
            </w:tcBorders>
            <w:shd w:val="clear" w:color="auto" w:fill="auto"/>
            <w:noWrap/>
            <w:vAlign w:val="bottom"/>
            <w:hideMark/>
          </w:tcPr>
          <w:p w14:paraId="1805B20A" w14:textId="77777777" w:rsidR="007C1B22" w:rsidRPr="008A61CB" w:rsidRDefault="007C1B22" w:rsidP="00C14DA0">
            <w:pPr>
              <w:spacing w:after="0" w:line="240" w:lineRule="auto"/>
              <w:rPr>
                <w:rFonts w:cstheme="minorHAnsi"/>
                <w:color w:val="000000"/>
                <w:sz w:val="20"/>
              </w:rPr>
            </w:pPr>
          </w:p>
        </w:tc>
        <w:tc>
          <w:tcPr>
            <w:tcW w:w="1340" w:type="dxa"/>
            <w:tcBorders>
              <w:top w:val="nil"/>
              <w:left w:val="nil"/>
              <w:bottom w:val="nil"/>
              <w:right w:val="nil"/>
            </w:tcBorders>
            <w:shd w:val="clear" w:color="auto" w:fill="auto"/>
            <w:noWrap/>
            <w:vAlign w:val="bottom"/>
            <w:hideMark/>
          </w:tcPr>
          <w:p w14:paraId="2D8BE175" w14:textId="58F192BF" w:rsidR="007C1B22" w:rsidRPr="008A61CB" w:rsidRDefault="00C14DA0" w:rsidP="00C14DA0">
            <w:pPr>
              <w:spacing w:after="0" w:line="240" w:lineRule="auto"/>
              <w:jc w:val="right"/>
              <w:rPr>
                <w:rFonts w:cstheme="minorHAnsi"/>
                <w:color w:val="000000"/>
                <w:sz w:val="20"/>
              </w:rPr>
            </w:pPr>
            <w:r w:rsidRPr="008A61CB">
              <w:rPr>
                <w:rFonts w:cstheme="minorHAnsi"/>
                <w:color w:val="000000"/>
                <w:sz w:val="20"/>
              </w:rPr>
              <w:t>XX</w:t>
            </w:r>
          </w:p>
        </w:tc>
        <w:tc>
          <w:tcPr>
            <w:tcW w:w="1220" w:type="dxa"/>
            <w:tcBorders>
              <w:top w:val="nil"/>
              <w:left w:val="nil"/>
              <w:bottom w:val="nil"/>
              <w:right w:val="nil"/>
            </w:tcBorders>
            <w:shd w:val="clear" w:color="auto" w:fill="auto"/>
            <w:noWrap/>
            <w:vAlign w:val="bottom"/>
            <w:hideMark/>
          </w:tcPr>
          <w:p w14:paraId="6A550557" w14:textId="1B743E58" w:rsidR="007C1B22" w:rsidRPr="008A61CB" w:rsidRDefault="00C14DA0" w:rsidP="00C14DA0">
            <w:pPr>
              <w:spacing w:after="0" w:line="240" w:lineRule="auto"/>
              <w:jc w:val="right"/>
              <w:rPr>
                <w:rFonts w:cstheme="minorHAnsi"/>
                <w:color w:val="000000"/>
                <w:sz w:val="20"/>
              </w:rPr>
            </w:pPr>
            <w:r w:rsidRPr="008A61CB">
              <w:rPr>
                <w:rFonts w:cstheme="minorHAnsi"/>
                <w:color w:val="000000"/>
                <w:sz w:val="20"/>
              </w:rPr>
              <w:t>XX</w:t>
            </w:r>
          </w:p>
        </w:tc>
      </w:tr>
      <w:tr w:rsidR="007C1B22" w:rsidRPr="008A61CB" w14:paraId="4B32223E" w14:textId="77777777" w:rsidTr="00FE2C4F">
        <w:trPr>
          <w:trHeight w:val="288"/>
        </w:trPr>
        <w:tc>
          <w:tcPr>
            <w:tcW w:w="4060" w:type="dxa"/>
            <w:tcBorders>
              <w:top w:val="nil"/>
              <w:left w:val="nil"/>
              <w:bottom w:val="nil"/>
              <w:right w:val="nil"/>
            </w:tcBorders>
            <w:shd w:val="clear" w:color="auto" w:fill="auto"/>
            <w:noWrap/>
            <w:vAlign w:val="bottom"/>
            <w:hideMark/>
          </w:tcPr>
          <w:p w14:paraId="4C0498E8" w14:textId="16593674" w:rsidR="007C1B22" w:rsidRPr="008A61CB" w:rsidRDefault="00065F1C" w:rsidP="00C14DA0">
            <w:pPr>
              <w:spacing w:after="0" w:line="240" w:lineRule="auto"/>
              <w:rPr>
                <w:rFonts w:cstheme="minorHAnsi"/>
                <w:color w:val="000000"/>
                <w:sz w:val="20"/>
              </w:rPr>
            </w:pPr>
            <w:r>
              <w:rPr>
                <w:rFonts w:cstheme="minorHAnsi"/>
                <w:color w:val="000000"/>
                <w:sz w:val="20"/>
              </w:rPr>
              <w:t>Utbildning av studieavgiftsskyldiga studenter</w:t>
            </w:r>
          </w:p>
        </w:tc>
        <w:tc>
          <w:tcPr>
            <w:tcW w:w="380" w:type="dxa"/>
            <w:tcBorders>
              <w:top w:val="nil"/>
              <w:left w:val="nil"/>
              <w:bottom w:val="nil"/>
              <w:right w:val="nil"/>
            </w:tcBorders>
            <w:shd w:val="clear" w:color="auto" w:fill="auto"/>
            <w:noWrap/>
            <w:vAlign w:val="bottom"/>
            <w:hideMark/>
          </w:tcPr>
          <w:p w14:paraId="676AE1F5" w14:textId="77777777" w:rsidR="007C1B22" w:rsidRPr="008A61CB" w:rsidRDefault="007C1B22" w:rsidP="00C14DA0">
            <w:pPr>
              <w:spacing w:after="0" w:line="240" w:lineRule="auto"/>
              <w:rPr>
                <w:rFonts w:cstheme="minorHAnsi"/>
                <w:color w:val="000000"/>
                <w:sz w:val="20"/>
              </w:rPr>
            </w:pPr>
          </w:p>
        </w:tc>
        <w:tc>
          <w:tcPr>
            <w:tcW w:w="1340" w:type="dxa"/>
            <w:tcBorders>
              <w:top w:val="nil"/>
              <w:left w:val="nil"/>
              <w:bottom w:val="nil"/>
              <w:right w:val="nil"/>
            </w:tcBorders>
            <w:shd w:val="clear" w:color="auto" w:fill="auto"/>
            <w:noWrap/>
            <w:vAlign w:val="bottom"/>
            <w:hideMark/>
          </w:tcPr>
          <w:p w14:paraId="0A6B6081" w14:textId="2A9B1144" w:rsidR="007C1B22" w:rsidRPr="008A61CB" w:rsidRDefault="00C14DA0" w:rsidP="00C14DA0">
            <w:pPr>
              <w:spacing w:after="0" w:line="240" w:lineRule="auto"/>
              <w:jc w:val="right"/>
              <w:rPr>
                <w:rFonts w:cstheme="minorHAnsi"/>
                <w:color w:val="000000"/>
                <w:sz w:val="20"/>
              </w:rPr>
            </w:pPr>
            <w:r w:rsidRPr="008A61CB">
              <w:rPr>
                <w:rFonts w:cstheme="minorHAnsi"/>
                <w:color w:val="000000"/>
                <w:sz w:val="20"/>
              </w:rPr>
              <w:t>XX</w:t>
            </w:r>
          </w:p>
        </w:tc>
        <w:tc>
          <w:tcPr>
            <w:tcW w:w="1220" w:type="dxa"/>
            <w:tcBorders>
              <w:top w:val="nil"/>
              <w:left w:val="nil"/>
              <w:bottom w:val="nil"/>
              <w:right w:val="nil"/>
            </w:tcBorders>
            <w:shd w:val="clear" w:color="auto" w:fill="auto"/>
            <w:noWrap/>
            <w:vAlign w:val="bottom"/>
            <w:hideMark/>
          </w:tcPr>
          <w:p w14:paraId="5461E8F0" w14:textId="7A311D4A" w:rsidR="007C1B22" w:rsidRPr="008A61CB" w:rsidRDefault="00C14DA0" w:rsidP="00C14DA0">
            <w:pPr>
              <w:spacing w:after="0" w:line="240" w:lineRule="auto"/>
              <w:jc w:val="right"/>
              <w:rPr>
                <w:rFonts w:cstheme="minorHAnsi"/>
                <w:color w:val="000000"/>
                <w:sz w:val="20"/>
              </w:rPr>
            </w:pPr>
            <w:r w:rsidRPr="008A61CB">
              <w:rPr>
                <w:rFonts w:cstheme="minorHAnsi"/>
                <w:color w:val="000000"/>
                <w:sz w:val="20"/>
              </w:rPr>
              <w:t>XX</w:t>
            </w:r>
          </w:p>
        </w:tc>
      </w:tr>
      <w:tr w:rsidR="006D33C1" w:rsidRPr="008A61CB" w14:paraId="2D7F2870" w14:textId="77777777" w:rsidTr="00FE2C4F">
        <w:trPr>
          <w:trHeight w:val="288"/>
        </w:trPr>
        <w:tc>
          <w:tcPr>
            <w:tcW w:w="4060" w:type="dxa"/>
            <w:tcBorders>
              <w:top w:val="nil"/>
              <w:left w:val="nil"/>
              <w:bottom w:val="nil"/>
              <w:right w:val="nil"/>
            </w:tcBorders>
            <w:shd w:val="clear" w:color="auto" w:fill="auto"/>
            <w:noWrap/>
            <w:vAlign w:val="bottom"/>
          </w:tcPr>
          <w:p w14:paraId="4CFEA6D3" w14:textId="77777777" w:rsidR="006D33C1" w:rsidRDefault="006D33C1" w:rsidP="00C14DA0">
            <w:pPr>
              <w:spacing w:after="0" w:line="240" w:lineRule="auto"/>
              <w:rPr>
                <w:rFonts w:cstheme="minorHAnsi"/>
                <w:color w:val="000000"/>
                <w:sz w:val="20"/>
              </w:rPr>
            </w:pPr>
          </w:p>
          <w:p w14:paraId="21CC1230" w14:textId="6028BF25" w:rsidR="006D33C1" w:rsidRPr="008A61CB" w:rsidRDefault="006D33C1" w:rsidP="00C14DA0">
            <w:pPr>
              <w:spacing w:after="0" w:line="240" w:lineRule="auto"/>
              <w:rPr>
                <w:rFonts w:cstheme="minorHAnsi"/>
                <w:color w:val="000000"/>
                <w:sz w:val="20"/>
              </w:rPr>
            </w:pPr>
            <w:r>
              <w:rPr>
                <w:rFonts w:cstheme="minorHAnsi"/>
                <w:color w:val="000000"/>
                <w:sz w:val="20"/>
              </w:rPr>
              <w:t>Holdingbola</w:t>
            </w:r>
            <w:r w:rsidR="00746912">
              <w:rPr>
                <w:rFonts w:cstheme="minorHAnsi"/>
                <w:color w:val="000000"/>
                <w:sz w:val="20"/>
              </w:rPr>
              <w:t>g</w:t>
            </w:r>
          </w:p>
        </w:tc>
        <w:tc>
          <w:tcPr>
            <w:tcW w:w="380" w:type="dxa"/>
            <w:tcBorders>
              <w:top w:val="nil"/>
              <w:left w:val="nil"/>
              <w:bottom w:val="nil"/>
              <w:right w:val="nil"/>
            </w:tcBorders>
            <w:shd w:val="clear" w:color="auto" w:fill="auto"/>
            <w:noWrap/>
            <w:vAlign w:val="bottom"/>
          </w:tcPr>
          <w:p w14:paraId="2CE27B94" w14:textId="77777777" w:rsidR="006D33C1" w:rsidRPr="008A61CB" w:rsidRDefault="006D33C1" w:rsidP="00C14DA0">
            <w:pPr>
              <w:spacing w:after="0" w:line="240" w:lineRule="auto"/>
              <w:rPr>
                <w:rFonts w:cstheme="minorHAnsi"/>
                <w:color w:val="000000"/>
                <w:sz w:val="20"/>
              </w:rPr>
            </w:pPr>
          </w:p>
        </w:tc>
        <w:tc>
          <w:tcPr>
            <w:tcW w:w="1340" w:type="dxa"/>
            <w:tcBorders>
              <w:top w:val="nil"/>
              <w:left w:val="nil"/>
              <w:bottom w:val="nil"/>
              <w:right w:val="nil"/>
            </w:tcBorders>
            <w:shd w:val="clear" w:color="auto" w:fill="auto"/>
            <w:noWrap/>
            <w:vAlign w:val="bottom"/>
          </w:tcPr>
          <w:p w14:paraId="07ABA2D4" w14:textId="4482A446" w:rsidR="006D33C1" w:rsidRPr="008A61CB" w:rsidRDefault="00746912" w:rsidP="00C14DA0">
            <w:pPr>
              <w:spacing w:after="0" w:line="240" w:lineRule="auto"/>
              <w:jc w:val="right"/>
              <w:rPr>
                <w:rFonts w:cstheme="minorHAnsi"/>
                <w:color w:val="000000"/>
                <w:sz w:val="20"/>
              </w:rPr>
            </w:pPr>
            <w:r>
              <w:rPr>
                <w:rFonts w:cstheme="minorHAnsi"/>
                <w:color w:val="000000"/>
                <w:sz w:val="20"/>
              </w:rPr>
              <w:t>XX</w:t>
            </w:r>
          </w:p>
        </w:tc>
        <w:tc>
          <w:tcPr>
            <w:tcW w:w="1220" w:type="dxa"/>
            <w:tcBorders>
              <w:top w:val="nil"/>
              <w:left w:val="nil"/>
              <w:bottom w:val="nil"/>
              <w:right w:val="nil"/>
            </w:tcBorders>
            <w:shd w:val="clear" w:color="auto" w:fill="auto"/>
            <w:noWrap/>
            <w:vAlign w:val="bottom"/>
          </w:tcPr>
          <w:p w14:paraId="5E924C1F" w14:textId="01DAD67C" w:rsidR="006D33C1" w:rsidRPr="008A61CB" w:rsidRDefault="00746912" w:rsidP="00C14DA0">
            <w:pPr>
              <w:spacing w:after="0" w:line="240" w:lineRule="auto"/>
              <w:jc w:val="right"/>
              <w:rPr>
                <w:rFonts w:cstheme="minorHAnsi"/>
                <w:color w:val="000000"/>
                <w:sz w:val="20"/>
              </w:rPr>
            </w:pPr>
            <w:r>
              <w:rPr>
                <w:rFonts w:cstheme="minorHAnsi"/>
                <w:color w:val="000000"/>
                <w:sz w:val="20"/>
              </w:rPr>
              <w:t>XX</w:t>
            </w:r>
          </w:p>
        </w:tc>
      </w:tr>
    </w:tbl>
    <w:p w14:paraId="5798D1E3" w14:textId="77777777" w:rsidR="00264DCA" w:rsidRPr="008A61CB" w:rsidRDefault="00264DCA" w:rsidP="00C14DA0">
      <w:pPr>
        <w:pStyle w:val="Brdtext"/>
        <w:spacing w:after="0" w:line="240" w:lineRule="auto"/>
        <w:rPr>
          <w:rFonts w:cstheme="minorHAnsi"/>
        </w:rPr>
      </w:pPr>
    </w:p>
    <w:p w14:paraId="27B23EEC" w14:textId="67D1622A" w:rsidR="007C1B22" w:rsidRPr="008A61CB" w:rsidRDefault="007C1B22" w:rsidP="007C1B22">
      <w:pPr>
        <w:rPr>
          <w:rFonts w:cstheme="minorHAnsi"/>
        </w:rPr>
      </w:pPr>
      <w:r w:rsidRPr="00065F1C">
        <w:rPr>
          <w:rFonts w:cstheme="minorHAnsi"/>
        </w:rPr>
        <w:lastRenderedPageBreak/>
        <w:t xml:space="preserve">Från och med 2020 har reglerna för redovisning av resultatandelar i hel- och delägda företag ändrats. Den ändrade redovisningsprincipen innebär att Holdingbolagets resultat inte ingår i universitetets </w:t>
      </w:r>
      <w:r w:rsidR="00746912" w:rsidRPr="00065F1C">
        <w:rPr>
          <w:rFonts w:cstheme="minorHAnsi"/>
        </w:rPr>
        <w:t>resultaträkning</w:t>
      </w:r>
      <w:r w:rsidRPr="00065F1C">
        <w:rPr>
          <w:rFonts w:cstheme="minorHAnsi"/>
        </w:rPr>
        <w:t>.</w:t>
      </w:r>
    </w:p>
    <w:p w14:paraId="6F253EA1" w14:textId="77777777" w:rsidR="00E024D9" w:rsidRPr="008A61CB" w:rsidRDefault="00E024D9" w:rsidP="00E024D9">
      <w:pPr>
        <w:ind w:right="-108"/>
        <w:outlineLvl w:val="0"/>
        <w:rPr>
          <w:rFonts w:cstheme="minorHAnsi"/>
          <w:b/>
          <w:bCs/>
        </w:rPr>
      </w:pPr>
      <w:r w:rsidRPr="008A61CB">
        <w:rPr>
          <w:rFonts w:cstheme="minorHAnsi"/>
          <w:b/>
          <w:bCs/>
        </w:rPr>
        <w:t xml:space="preserve">Principer och metoder för beräkning och fördelning </w:t>
      </w:r>
    </w:p>
    <w:p w14:paraId="02E09383" w14:textId="77777777" w:rsidR="00E024D9" w:rsidRPr="008A61CB" w:rsidRDefault="00E024D9" w:rsidP="00E024D9">
      <w:pPr>
        <w:ind w:right="-108"/>
        <w:rPr>
          <w:rFonts w:cstheme="minorHAnsi"/>
        </w:rPr>
      </w:pPr>
      <w:r w:rsidRPr="008A61CB">
        <w:rPr>
          <w:rFonts w:cstheme="minorHAnsi"/>
        </w:rPr>
        <w:t>Principer och metoder för beräkning och fördelning av intäkter och kostnader är desamma som vid upprättandet av årsredovisningen.</w:t>
      </w:r>
      <w:r w:rsidRPr="008A61CB">
        <w:rPr>
          <w:rFonts w:cstheme="minorHAnsi"/>
          <w:bCs/>
        </w:rPr>
        <w:t xml:space="preserve"> </w:t>
      </w:r>
      <w:r w:rsidRPr="008A61CB">
        <w:rPr>
          <w:rFonts w:cstheme="minorHAnsi"/>
        </w:rPr>
        <w:t>Redovisningen är upprättad i enlighet med förordningen (2000:605) om myndigheters års</w:t>
      </w:r>
      <w:r w:rsidRPr="008A61CB">
        <w:rPr>
          <w:rFonts w:cstheme="minorHAnsi"/>
        </w:rPr>
        <w:softHyphen/>
        <w:t>redovisning och budgetunderlag (FÅB), förordning (2000:606) om myndigheters bokföring (FBF) samt tillkommande regeringsbeslut.</w:t>
      </w:r>
    </w:p>
    <w:p w14:paraId="60F22224" w14:textId="00367858" w:rsidR="00757EDD" w:rsidRPr="00757EDD" w:rsidRDefault="00757EDD" w:rsidP="00757EDD">
      <w:pPr>
        <w:ind w:right="-108"/>
        <w:rPr>
          <w:rFonts w:cstheme="minorHAnsi"/>
        </w:rPr>
      </w:pPr>
      <w:r w:rsidRPr="00757EDD">
        <w:rPr>
          <w:rFonts w:cstheme="minorHAnsi"/>
        </w:rPr>
        <w:t xml:space="preserve">Under året har </w:t>
      </w:r>
      <w:r>
        <w:rPr>
          <w:rFonts w:cstheme="minorHAnsi"/>
        </w:rPr>
        <w:t>lärosätet</w:t>
      </w:r>
      <w:r w:rsidRPr="00757EDD">
        <w:rPr>
          <w:rFonts w:cstheme="minorHAnsi"/>
        </w:rPr>
        <w:t xml:space="preserve"> erhållit ett anslag </w:t>
      </w:r>
      <w:r>
        <w:rPr>
          <w:rFonts w:cstheme="minorHAnsi"/>
        </w:rPr>
        <w:t xml:space="preserve">för </w:t>
      </w:r>
      <w:r w:rsidRPr="00757EDD">
        <w:rPr>
          <w:rFonts w:cstheme="minorHAnsi"/>
        </w:rPr>
        <w:t xml:space="preserve">Idébanksmedel om </w:t>
      </w:r>
      <w:r>
        <w:rPr>
          <w:rFonts w:cstheme="minorHAnsi"/>
        </w:rPr>
        <w:t>XX</w:t>
      </w:r>
      <w:r w:rsidRPr="00757EDD">
        <w:rPr>
          <w:rFonts w:cstheme="minorHAnsi"/>
        </w:rPr>
        <w:t xml:space="preserve"> tkr. Universitetet har bemyndigats att utbetala detta som ett kapitaltillskott till holdingbolaget. Kapitaltillskottet ska finansiera kostnader för de så kallade idébankerna. Erhållna idébanksmedel redovisas i balansräkningen under Statskapital till skillnad från vanliga anslag. I samband med utbetalning till holdingbolaget redovisas det i balansräkningen som andelar i hel- och delägda företag, årets anskaffning. </w:t>
      </w:r>
    </w:p>
    <w:p w14:paraId="7C87C727" w14:textId="77777777" w:rsidR="00E024D9" w:rsidRPr="008A61CB" w:rsidRDefault="00E024D9" w:rsidP="00E024D9">
      <w:pPr>
        <w:ind w:right="-108"/>
        <w:rPr>
          <w:rFonts w:cstheme="minorHAnsi"/>
        </w:rPr>
      </w:pPr>
    </w:p>
    <w:p w14:paraId="114422FB" w14:textId="7DFEAC87" w:rsidR="00E024D9" w:rsidRPr="008A61CB" w:rsidRDefault="00E024D9" w:rsidP="004C3F3B">
      <w:pPr>
        <w:rPr>
          <w:rFonts w:cstheme="minorHAnsi"/>
        </w:rPr>
      </w:pPr>
    </w:p>
    <w:p w14:paraId="2E2DC3D6" w14:textId="77777777" w:rsidR="00E024D9" w:rsidRPr="008A61CB" w:rsidRDefault="00E024D9" w:rsidP="004C3F3B">
      <w:pPr>
        <w:rPr>
          <w:rFonts w:cstheme="minorHAnsi"/>
        </w:rPr>
      </w:pPr>
    </w:p>
    <w:sectPr w:rsidR="00E024D9" w:rsidRPr="008A61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1B69" w14:textId="77777777" w:rsidR="00C14DA0" w:rsidRDefault="00C14DA0" w:rsidP="00C14DA0">
      <w:pPr>
        <w:spacing w:after="0" w:line="240" w:lineRule="auto"/>
      </w:pPr>
      <w:r>
        <w:separator/>
      </w:r>
    </w:p>
  </w:endnote>
  <w:endnote w:type="continuationSeparator" w:id="0">
    <w:p w14:paraId="7D8ABAA8" w14:textId="77777777" w:rsidR="00C14DA0" w:rsidRDefault="00C14DA0" w:rsidP="00C1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Times New Roman"/>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25A4" w14:textId="77777777" w:rsidR="00C14DA0" w:rsidRDefault="00C14DA0" w:rsidP="00C14DA0">
      <w:pPr>
        <w:spacing w:after="0" w:line="240" w:lineRule="auto"/>
      </w:pPr>
      <w:r>
        <w:separator/>
      </w:r>
    </w:p>
  </w:footnote>
  <w:footnote w:type="continuationSeparator" w:id="0">
    <w:p w14:paraId="0D63793F" w14:textId="77777777" w:rsidR="00C14DA0" w:rsidRDefault="00C14DA0" w:rsidP="00C14D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3B"/>
    <w:rsid w:val="00043E56"/>
    <w:rsid w:val="00065F1C"/>
    <w:rsid w:val="00083AD9"/>
    <w:rsid w:val="000E2098"/>
    <w:rsid w:val="00133CEE"/>
    <w:rsid w:val="00141150"/>
    <w:rsid w:val="001B3468"/>
    <w:rsid w:val="00264DCA"/>
    <w:rsid w:val="0039673C"/>
    <w:rsid w:val="004C3F3B"/>
    <w:rsid w:val="00577C5E"/>
    <w:rsid w:val="005B12E7"/>
    <w:rsid w:val="005C7319"/>
    <w:rsid w:val="00657DCB"/>
    <w:rsid w:val="006D33C1"/>
    <w:rsid w:val="0070281D"/>
    <w:rsid w:val="00746912"/>
    <w:rsid w:val="0075503F"/>
    <w:rsid w:val="00757EDD"/>
    <w:rsid w:val="00772D92"/>
    <w:rsid w:val="00784D13"/>
    <w:rsid w:val="007A60E4"/>
    <w:rsid w:val="007C1B22"/>
    <w:rsid w:val="007E5589"/>
    <w:rsid w:val="007F26DA"/>
    <w:rsid w:val="00877FAC"/>
    <w:rsid w:val="008A61CB"/>
    <w:rsid w:val="008C1023"/>
    <w:rsid w:val="008C1DCE"/>
    <w:rsid w:val="008F413C"/>
    <w:rsid w:val="009214C9"/>
    <w:rsid w:val="00951772"/>
    <w:rsid w:val="00995B0B"/>
    <w:rsid w:val="009C33F6"/>
    <w:rsid w:val="00A1638D"/>
    <w:rsid w:val="00A9155D"/>
    <w:rsid w:val="00B565C7"/>
    <w:rsid w:val="00BC2934"/>
    <w:rsid w:val="00C060D1"/>
    <w:rsid w:val="00C14DA0"/>
    <w:rsid w:val="00C65E45"/>
    <w:rsid w:val="00C67E44"/>
    <w:rsid w:val="00C86AF2"/>
    <w:rsid w:val="00CD2177"/>
    <w:rsid w:val="00D45742"/>
    <w:rsid w:val="00D47897"/>
    <w:rsid w:val="00D83E39"/>
    <w:rsid w:val="00DC3154"/>
    <w:rsid w:val="00E024D9"/>
    <w:rsid w:val="00E62F11"/>
    <w:rsid w:val="00FA6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B1FED"/>
  <w15:chartTrackingRefBased/>
  <w15:docId w15:val="{BF2CC359-77E3-4C3C-A0B5-B8EC9458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E024D9"/>
    <w:pPr>
      <w:widowControl w:val="0"/>
      <w:autoSpaceDE w:val="0"/>
      <w:autoSpaceDN w:val="0"/>
      <w:adjustRightInd w:val="0"/>
      <w:spacing w:after="57" w:line="288" w:lineRule="auto"/>
      <w:textAlignment w:val="center"/>
      <w:outlineLvl w:val="1"/>
    </w:pPr>
    <w:rPr>
      <w:rFonts w:ascii="Calibri-Bold" w:eastAsiaTheme="minorEastAsia" w:hAnsi="Calibri-Bold" w:cs="Calibri-Bold"/>
      <w:b/>
      <w:bCs/>
      <w:color w:val="000000"/>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A1638D"/>
    <w:rPr>
      <w:color w:val="0071BD"/>
      <w:u w:val="single"/>
    </w:rPr>
  </w:style>
  <w:style w:type="character" w:customStyle="1" w:styleId="Rubrik2Char">
    <w:name w:val="Rubrik 2 Char"/>
    <w:basedOn w:val="Standardstycketeckensnitt"/>
    <w:link w:val="Rubrik2"/>
    <w:uiPriority w:val="9"/>
    <w:rsid w:val="00E024D9"/>
    <w:rPr>
      <w:rFonts w:ascii="Calibri-Bold" w:eastAsiaTheme="minorEastAsia" w:hAnsi="Calibri-Bold" w:cs="Calibri-Bold"/>
      <w:b/>
      <w:bCs/>
      <w:color w:val="000000"/>
      <w:sz w:val="28"/>
      <w:szCs w:val="28"/>
      <w:lang w:eastAsia="sv-SE"/>
    </w:rPr>
  </w:style>
  <w:style w:type="character" w:styleId="Kommentarsreferens">
    <w:name w:val="annotation reference"/>
    <w:basedOn w:val="Standardstycketeckensnitt"/>
    <w:uiPriority w:val="99"/>
    <w:semiHidden/>
    <w:unhideWhenUsed/>
    <w:rsid w:val="00995B0B"/>
    <w:rPr>
      <w:sz w:val="16"/>
      <w:szCs w:val="16"/>
    </w:rPr>
  </w:style>
  <w:style w:type="paragraph" w:styleId="Kommentarer">
    <w:name w:val="annotation text"/>
    <w:basedOn w:val="Normal"/>
    <w:link w:val="KommentarerChar"/>
    <w:uiPriority w:val="99"/>
    <w:unhideWhenUsed/>
    <w:rsid w:val="00995B0B"/>
    <w:pPr>
      <w:spacing w:line="240" w:lineRule="auto"/>
    </w:pPr>
    <w:rPr>
      <w:sz w:val="20"/>
      <w:szCs w:val="20"/>
    </w:rPr>
  </w:style>
  <w:style w:type="character" w:customStyle="1" w:styleId="KommentarerChar">
    <w:name w:val="Kommentarer Char"/>
    <w:basedOn w:val="Standardstycketeckensnitt"/>
    <w:link w:val="Kommentarer"/>
    <w:uiPriority w:val="99"/>
    <w:rsid w:val="00995B0B"/>
    <w:rPr>
      <w:sz w:val="20"/>
      <w:szCs w:val="20"/>
    </w:rPr>
  </w:style>
  <w:style w:type="paragraph" w:styleId="Kommentarsmne">
    <w:name w:val="annotation subject"/>
    <w:basedOn w:val="Kommentarer"/>
    <w:next w:val="Kommentarer"/>
    <w:link w:val="KommentarsmneChar"/>
    <w:uiPriority w:val="99"/>
    <w:semiHidden/>
    <w:unhideWhenUsed/>
    <w:rsid w:val="00995B0B"/>
    <w:rPr>
      <w:b/>
      <w:bCs/>
    </w:rPr>
  </w:style>
  <w:style w:type="character" w:customStyle="1" w:styleId="KommentarsmneChar">
    <w:name w:val="Kommentarsämne Char"/>
    <w:basedOn w:val="KommentarerChar"/>
    <w:link w:val="Kommentarsmne"/>
    <w:uiPriority w:val="99"/>
    <w:semiHidden/>
    <w:rsid w:val="00995B0B"/>
    <w:rPr>
      <w:b/>
      <w:bCs/>
      <w:sz w:val="20"/>
      <w:szCs w:val="20"/>
    </w:rPr>
  </w:style>
  <w:style w:type="paragraph" w:styleId="Brdtext">
    <w:name w:val="Body Text"/>
    <w:basedOn w:val="Normal"/>
    <w:link w:val="BrdtextChar"/>
    <w:qFormat/>
    <w:rsid w:val="007C1B22"/>
    <w:pPr>
      <w:spacing w:after="120"/>
    </w:pPr>
    <w:rPr>
      <w:sz w:val="24"/>
      <w:szCs w:val="24"/>
    </w:rPr>
  </w:style>
  <w:style w:type="character" w:customStyle="1" w:styleId="BrdtextChar">
    <w:name w:val="Brödtext Char"/>
    <w:basedOn w:val="Standardstycketeckensnitt"/>
    <w:link w:val="Brdtext"/>
    <w:rsid w:val="007C1B22"/>
    <w:rPr>
      <w:sz w:val="24"/>
      <w:szCs w:val="24"/>
    </w:rPr>
  </w:style>
  <w:style w:type="character" w:customStyle="1" w:styleId="Fetstil">
    <w:name w:val="Fetstil"/>
    <w:basedOn w:val="Standardstycketeckensnitt"/>
    <w:uiPriority w:val="2"/>
    <w:qFormat/>
    <w:rsid w:val="007C1B22"/>
    <w:rPr>
      <w:b/>
      <w:bCs/>
    </w:rPr>
  </w:style>
  <w:style w:type="character" w:styleId="Olstomnmnande">
    <w:name w:val="Unresolved Mention"/>
    <w:basedOn w:val="Standardstycketeckensnitt"/>
    <w:uiPriority w:val="99"/>
    <w:semiHidden/>
    <w:unhideWhenUsed/>
    <w:rsid w:val="00B56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390349">
      <w:bodyDiv w:val="1"/>
      <w:marLeft w:val="0"/>
      <w:marRight w:val="0"/>
      <w:marTop w:val="0"/>
      <w:marBottom w:val="0"/>
      <w:divBdr>
        <w:top w:val="none" w:sz="0" w:space="0" w:color="auto"/>
        <w:left w:val="none" w:sz="0" w:space="0" w:color="auto"/>
        <w:bottom w:val="none" w:sz="0" w:space="0" w:color="auto"/>
        <w:right w:val="none" w:sz="0" w:space="0" w:color="auto"/>
      </w:divBdr>
    </w:div>
    <w:div w:id="188976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kv.se/upload/bilder/foretagsverksamhet.gif"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nkurrensverket.se/konkurrens/lagar-och-regler/transparensla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5383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Sundberg</dc:creator>
  <cp:keywords/>
  <dc:description/>
  <cp:lastModifiedBy>Andreas Sundberg</cp:lastModifiedBy>
  <cp:revision>2</cp:revision>
  <cp:lastPrinted>2023-03-30T15:43:00Z</cp:lastPrinted>
  <dcterms:created xsi:type="dcterms:W3CDTF">2024-01-12T09:36:00Z</dcterms:created>
  <dcterms:modified xsi:type="dcterms:W3CDTF">2024-01-12T09:36:00Z</dcterms:modified>
</cp:coreProperties>
</file>